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48" w:rsidRDefault="00DD0F48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</w:pPr>
      <w:r>
        <w:rPr>
          <w:rFonts w:ascii="PT Serif" w:eastAsia="PT Serif" w:hAnsi="PT Serif" w:cs="PT Serif"/>
          <w:b/>
          <w:color w:val="22272F"/>
          <w:sz w:val="23"/>
        </w:rPr>
        <w:t>ПРИЛОЖЕНИЕ</w:t>
      </w:r>
      <w:r>
        <w:rPr>
          <w:rFonts w:ascii="PT Serif" w:eastAsia="PT Serif" w:hAnsi="PT Serif" w:cs="PT Serif"/>
          <w:b/>
          <w:color w:val="22272F"/>
          <w:sz w:val="23"/>
        </w:rPr>
        <w:br/>
        <w:t xml:space="preserve">к </w:t>
      </w:r>
      <w:hyperlink r:id="rId8" w:anchor="/document/412061006/entry/0" w:tooltip="https://ivo.garant.ru/#/document/412061006/entry/0" w:history="1">
        <w:r w:rsidRPr="00F85AAA">
          <w:rPr>
            <w:rStyle w:val="afe"/>
            <w:rFonts w:ascii="PT Serif" w:eastAsia="PT Serif" w:hAnsi="PT Serif" w:cs="PT Serif"/>
            <w:b/>
            <w:color w:val="000000"/>
            <w:sz w:val="23"/>
            <w:u w:val="none"/>
          </w:rPr>
          <w:t>приказу</w:t>
        </w:r>
      </w:hyperlink>
      <w:r>
        <w:rPr>
          <w:rFonts w:ascii="PT Serif" w:eastAsia="PT Serif" w:hAnsi="PT Serif" w:cs="PT Serif"/>
          <w:b/>
          <w:color w:val="22272F"/>
          <w:sz w:val="23"/>
        </w:rPr>
        <w:t xml:space="preserve"> Минюста России</w:t>
      </w:r>
      <w:r>
        <w:rPr>
          <w:rFonts w:ascii="PT Serif" w:eastAsia="PT Serif" w:hAnsi="PT Serif" w:cs="PT Serif"/>
          <w:b/>
          <w:color w:val="22272F"/>
          <w:sz w:val="23"/>
        </w:rPr>
        <w:br/>
        <w:t>от 22.05.2025 N 118</w:t>
      </w:r>
    </w:p>
    <w:p w:rsidR="00DD0F48" w:rsidRDefault="00DD0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sz w:val="33"/>
          <w:szCs w:val="33"/>
        </w:rPr>
      </w:pP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Изменения, вносимые в приказ Минюста России от 30.06.2023 №163 «Об утверждении типовых уставов некоммерческих организаций»</w:t>
      </w:r>
    </w:p>
    <w:p w:rsidR="00DD0F48" w:rsidRDefault="00DD0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color w:val="22272F"/>
          <w:sz w:val="33"/>
          <w:szCs w:val="33"/>
        </w:rPr>
      </w:pP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1. В </w:t>
      </w:r>
      <w:hyperlink r:id="rId9" w:anchor="/document/407122188/entry/1000" w:tooltip="https://ivo.garant.ru/#/document/407122188/entry/1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 Минюста России от 30.06.2023 N 163 "Об утверждении типовых уставов некоммерческих организаций" (далее - приказ):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10" w:anchor="/document/407122188/entry/10031" w:tooltip="https://ivo.garant.ru/#/document/407122188/entry/1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11" w:anchor="/document/407122188/entry/10032" w:tooltip="https://ivo.garant.ru/#/document/407122188/entry/1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Организации: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Организац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ии и ее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описание (при наличии): _______________________________________________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12" w:anchor="/document/407122188/entry/1007" w:tooltip="https://ivo.garant.ru/#/document/407122188/entry/1007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7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 </w:t>
      </w:r>
      <w:hyperlink r:id="rId13" w:anchor="/document/407122188/entry/1031" w:tooltip="https://ivo.garant.ru/#/document/407122188/entry/1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 31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</w:t>
      </w:r>
      <w:r>
        <w:rPr>
          <w:rFonts w:ascii="PT Serif" w:eastAsia="PT Serif" w:hAnsi="PT Serif" w:cs="PT Serif"/>
          <w:color w:val="22272F"/>
          <w:sz w:val="28"/>
          <w:szCs w:val="28"/>
        </w:rPr>
        <w:t xml:space="preserve">31. 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В случае </w:t>
      </w:r>
      <w:r>
        <w:rPr>
          <w:rFonts w:ascii="PT Serif" w:eastAsia="PT Serif" w:hAnsi="PT Serif" w:cs="PT Serif"/>
          <w:color w:val="22272F"/>
          <w:sz w:val="28"/>
          <w:szCs w:val="28"/>
        </w:rPr>
        <w:t xml:space="preserve">если использование имущества ликвидируемой Организации 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в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соответствии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с уставом Организации не представляется возможным, оно обращается в доход государства.".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2. В </w:t>
      </w:r>
      <w:hyperlink r:id="rId14" w:anchor="/document/407122188/entry/2000" w:tooltip="https://ivo.garant.ru/#/document/407122188/entry/2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15" w:anchor="/document/407122188/entry/20031" w:tooltip="https://ivo.garant.ru/#/document/407122188/entry/2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16" w:anchor="/document/407122188/entry/20032" w:tooltip="https://ivo.garant.ru/#/document/407122188/entry/2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Организации: ___________________________________________________________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Организации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наличии):________________________________________________.";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17" w:anchor="/document/407122188/entry/2007" w:tooltip="https://ivo.garant.ru/#/document/407122188/entry/2007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7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 </w:t>
      </w:r>
      <w:hyperlink r:id="rId18" w:anchor="/document/407122188/entry/2032" w:tooltip="https://ivo.garant.ru/#/document/407122188/entry/2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 32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 xml:space="preserve">"32. 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</w:t>
      </w:r>
      <w:r>
        <w:rPr>
          <w:rFonts w:ascii="PT Serif" w:eastAsia="PT Serif" w:hAnsi="PT Serif" w:cs="PT Serif"/>
          <w:color w:val="22272F"/>
          <w:sz w:val="28"/>
          <w:szCs w:val="28"/>
        </w:rPr>
        <w:t xml:space="preserve">благотворительные цели. В случае если использование имущества ликвидируемой Организации в </w:t>
      </w:r>
      <w:r>
        <w:rPr>
          <w:rFonts w:ascii="PT Serif" w:eastAsia="PT Serif" w:hAnsi="PT Serif" w:cs="PT Serif"/>
          <w:color w:val="22272F"/>
          <w:sz w:val="28"/>
          <w:szCs w:val="28"/>
        </w:rPr>
        <w:lastRenderedPageBreak/>
        <w:t>соответствии с уставом Организации не представляется возможным, оно обращается в доход государства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.".</w:t>
      </w:r>
      <w:proofErr w:type="gramEnd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3. В </w:t>
      </w:r>
      <w:hyperlink r:id="rId19" w:anchor="/document/407122188/entry/3000" w:tooltip="https://ivo.garant.ru/#/document/407122188/entry/3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3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20" w:anchor="/document/407122188/entry/30031" w:tooltip="https://ivo.garant.ru/#/document/407122188/entry/3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21" w:anchor="/document/407122188/entry/30032" w:tooltip="https://ivo.garant.ru/#/document/407122188/entry/3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Движения: _____________________________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Движения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наличии):_______________________________________________.";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22" w:anchor="/document/407122188/entry/3007" w:tooltip="https://ivo.garant.ru/#/document/407122188/entry/3007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7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 </w:t>
      </w:r>
      <w:hyperlink r:id="rId23" w:anchor="/document/407122188/entry/3024" w:tooltip="https://ivo.garant.ru/#/document/407122188/entry/3024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 24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</w:t>
      </w:r>
      <w:r>
        <w:rPr>
          <w:rFonts w:ascii="PT Serif" w:eastAsia="PT Serif" w:hAnsi="PT Serif" w:cs="PT Serif"/>
          <w:color w:val="22272F"/>
          <w:sz w:val="28"/>
          <w:szCs w:val="28"/>
        </w:rPr>
        <w:t>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"24.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</w:t>
      </w:r>
      <w:r>
        <w:rPr>
          <w:rFonts w:ascii="PT Serif" w:eastAsia="PT Serif" w:hAnsi="PT Serif" w:cs="PT Serif"/>
          <w:color w:val="22272F"/>
          <w:sz w:val="28"/>
          <w:szCs w:val="28"/>
        </w:rPr>
        <w:t>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.".</w:t>
      </w:r>
      <w:proofErr w:type="gramEnd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4. В </w:t>
      </w:r>
      <w:hyperlink r:id="rId24" w:anchor="/document/407122188/entry/4000" w:tooltip="https://ivo.garant.ru/#/document/407122188/entry/4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4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25" w:anchor="/document/407122188/entry/40031" w:tooltip="https://ivo.garant.ru/#/document/407122188/entry/4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26" w:anchor="/document/407122188/entry/40032" w:tooltip="https://ivo.garant.ru/#/document/407122188/entry/4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Движения: ______________________________________________________________________.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Движения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наличии):________________________________________________."</w:t>
      </w:r>
      <w:r>
        <w:rPr>
          <w:rFonts w:ascii="PT Serif" w:eastAsia="PT Serif" w:hAnsi="PT Serif" w:cs="PT Serif"/>
          <w:color w:val="22272F"/>
          <w:sz w:val="28"/>
          <w:szCs w:val="28"/>
        </w:rPr>
        <w:t>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27" w:anchor="/document/407122188/entry/4007" w:tooltip="https://ivo.garant.ru/#/document/407122188/entry/4007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7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 </w:t>
      </w:r>
      <w:hyperlink r:id="rId28" w:anchor="/document/407122188/entry/4026" w:tooltip="https://ivo.garant.ru/#/document/407122188/entry/4026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 26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"26. При ликвидации Движения оставшееся после удовлетворения требований кредиторов имущество, если иное не установлено федеральными законами, на</w:t>
      </w:r>
      <w:r>
        <w:rPr>
          <w:rFonts w:ascii="PT Serif" w:eastAsia="PT Serif" w:hAnsi="PT Serif" w:cs="PT Serif"/>
          <w:color w:val="22272F"/>
          <w:sz w:val="28"/>
          <w:szCs w:val="28"/>
        </w:rPr>
        <w:t>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</w:t>
      </w:r>
      <w:r>
        <w:rPr>
          <w:rFonts w:ascii="PT Serif" w:eastAsia="PT Serif" w:hAnsi="PT Serif" w:cs="PT Serif"/>
          <w:color w:val="22272F"/>
          <w:sz w:val="28"/>
          <w:szCs w:val="28"/>
        </w:rPr>
        <w:t>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.".</w:t>
      </w:r>
      <w:proofErr w:type="gramEnd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5. В </w:t>
      </w:r>
      <w:hyperlink r:id="rId29" w:anchor="/document/407122188/entry/5000" w:tooltip="https://ivo.garant.ru/#/document/407122188/entry/5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5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30" w:anchor="/document/407122188/entry/50021" w:tooltip="https://ivo.garant.ru/#/document/407122188/entry/5002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31" w:anchor="/document/407122188/entry/50022" w:tooltip="https://ivo.garant.ru/#/document/407122188/entry/5002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ассоциации (союза): ________________________________________________________________________.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lastRenderedPageBreak/>
        <w:t>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ассоциации (союза) и ее описание (при наличии):___________________________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32" w:anchor="/document/407122188/entry/5006" w:tooltip="https://ivo.garant.ru/#/document/407122188/entry/5006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 пункты 12 - 36 считать </w:t>
      </w:r>
      <w:hyperlink r:id="rId33" w:anchor="/document/407122188/entry/5012" w:tooltip="https://ivo.garant.ru/#/document/407122188/entry/501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11 - 35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соответственно;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4) пункт 37 считать </w:t>
      </w:r>
      <w:hyperlink r:id="rId34" w:anchor="/document/407122188/entry/5037" w:tooltip="https://ivo.garant.ru/#/document/407122188/entry/5037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пунктом 36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 изложить его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"36. При ликвидации ассоциации (союза) оставшееся после удовлетворения требований кредиторов имущество, если иное не установлено федеральными зак</w:t>
      </w:r>
      <w:r>
        <w:rPr>
          <w:rFonts w:ascii="PT Serif" w:eastAsia="PT Serif" w:hAnsi="PT Serif" w:cs="PT Serif"/>
          <w:color w:val="22272F"/>
          <w:sz w:val="28"/>
          <w:szCs w:val="28"/>
        </w:rPr>
        <w:t>онами, направляется на цели, в интересах которых ассоциация (союз) была создана, и (или) на благотворительные цели. В случае если использование имущества ликвидируемой ассоциации (союза) в соответствии с уставом ассоциации (союза) не представляется возможн</w:t>
      </w:r>
      <w:r>
        <w:rPr>
          <w:rFonts w:ascii="PT Serif" w:eastAsia="PT Serif" w:hAnsi="PT Serif" w:cs="PT Serif"/>
          <w:color w:val="22272F"/>
          <w:sz w:val="28"/>
          <w:szCs w:val="28"/>
        </w:rPr>
        <w:t>ым, оно обращается в доход государства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.".</w:t>
      </w:r>
      <w:proofErr w:type="gramEnd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6. В </w:t>
      </w:r>
      <w:hyperlink r:id="rId35" w:anchor="/document/407122188/entry/6000" w:tooltip="https://ivo.garant.ru/#/document/407122188/entry/6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36" w:anchor="/document/407122188/entry/60031" w:tooltip="https://ivo.garant.ru/#/document/407122188/entry/6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37" w:anchor="/document/407122188/entry/60032" w:tooltip="https://ivo.garant.ru/#/document/407122188/entry/6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</w:t>
      </w:r>
      <w:r>
        <w:rPr>
          <w:rFonts w:ascii="PT Serif" w:eastAsia="PT Serif" w:hAnsi="PT Serif" w:cs="PT Serif"/>
          <w:color w:val="22272F"/>
          <w:sz w:val="28"/>
          <w:szCs w:val="28"/>
        </w:rPr>
        <w:t>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Общины: _______________________________________________________________________.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Общины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наличии):___________________________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38" w:anchor="/document/407122188/entry/6006" w:tooltip="https://ivo.garant.ru/#/document/407122188/entry/6006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 после абзаца пятого пункта 40 </w:t>
      </w:r>
      <w:hyperlink r:id="rId39" w:anchor="/document/407122188/entry/6900" w:tooltip="https://ivo.garant.ru/#/document/407122188/entry/69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раздел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"IV. Порядок распределения имущества, оставшегося после ликвидации Общины" 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"IX. Порядок распре</w:t>
      </w:r>
      <w:r>
        <w:rPr>
          <w:rFonts w:ascii="PT Serif" w:eastAsia="PT Serif" w:hAnsi="PT Serif" w:cs="PT Serif"/>
          <w:color w:val="22272F"/>
          <w:sz w:val="28"/>
          <w:szCs w:val="28"/>
        </w:rPr>
        <w:t>деления имущества, оставшегося после ликвидации Общины".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7. В </w:t>
      </w:r>
      <w:hyperlink r:id="rId40" w:anchor="/document/407122188/entry/7000" w:tooltip="https://ivo.garant.ru/#/document/407122188/entry/7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приложении N 7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1) дополнить </w:t>
      </w:r>
      <w:hyperlink r:id="rId41" w:anchor="/document/407122188/entry/70031" w:tooltip="https://ivo.garant.ru/#/document/407122188/entry/7003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42" w:anchor="/document/407122188/entry/70032" w:tooltip="https://ivo.garant.ru/#/document/407122188/entry/7003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3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Фонда: _______________________________________________________________________.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Фонда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</w:t>
      </w:r>
      <w:r>
        <w:rPr>
          <w:rFonts w:ascii="PT Serif" w:eastAsia="PT Serif" w:hAnsi="PT Serif" w:cs="PT Serif"/>
          <w:color w:val="22272F"/>
          <w:sz w:val="28"/>
          <w:szCs w:val="28"/>
        </w:rPr>
        <w:t>чии):_______________________________________________.";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2) в </w:t>
      </w:r>
      <w:hyperlink r:id="rId43" w:anchor="/document/407122188/entry/7006" w:tooltip="https://ivo.garant.ru/#/document/407122188/entry/7006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пункте 6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слова "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предпринимательской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 xml:space="preserve"> и" исключить;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3) </w:t>
      </w:r>
      <w:hyperlink r:id="rId44" w:anchor="/document/407122188/entry/7010" w:tooltip="https://ivo.garant.ru/#/document/407122188/entry/701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 10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дополнить </w:t>
      </w:r>
      <w:hyperlink r:id="rId45" w:anchor="/document/407122188/entry/701081" w:tooltip="https://ivo.garant.ru/#/document/407122188/entry/70108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подпунктом 8.1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"8.1) принятие решений о назначении ликвидационной комиссии (ликвидатора) и об утверждении ликвидационного баланса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;"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;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4) </w:t>
      </w:r>
      <w:hyperlink r:id="rId46" w:anchor="/document/407122188/entry/70109" w:tooltip="https://ivo.garant.ru/#/document/407122188/entry/70109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подпункт 9 пункта 10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изложить в следующей редакции: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"9) рассмотрение иных вопросов деятельности Фонда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.".</w:t>
      </w:r>
      <w:proofErr w:type="gramEnd"/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8. </w:t>
      </w:r>
      <w:hyperlink r:id="rId47" w:anchor="/document/407122188/entry/8000" w:tooltip="https://ivo.garant.ru/#/document/407122188/entry/8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Приложение N 8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 дополнить </w:t>
      </w:r>
      <w:hyperlink r:id="rId48" w:anchor="/document/407122188/entry/80021" w:tooltip="https://ivo.garant.ru/#/document/407122188/entry/8002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49" w:anchor="/document/407122188/entry/80022" w:tooltip="https://ivo.garant.ru/#/document/407122188/entry/8002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lastRenderedPageBreak/>
        <w:t>"2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печати частного учреждения: _____________________________</w:t>
      </w:r>
      <w:r>
        <w:rPr>
          <w:rFonts w:ascii="PT Serif" w:eastAsia="PT Serif" w:hAnsi="PT Serif" w:cs="PT Serif"/>
          <w:color w:val="22272F"/>
          <w:sz w:val="28"/>
          <w:szCs w:val="28"/>
        </w:rPr>
        <w:t>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частного учреждения и ее описание (при наличии):____________________________________________________________.".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9. </w:t>
      </w:r>
      <w:hyperlink r:id="rId50" w:anchor="/document/407122188/entry/9000" w:tooltip="https://ivo.garant.ru/#/document/407122188/entry/9000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Приложение N 9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к приказу дополнить </w:t>
      </w:r>
      <w:hyperlink r:id="rId51" w:anchor="/document/407122188/entry/90021" w:tooltip="https://ivo.garant.ru/#/document/407122188/entry/90021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пунктами 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1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и </w:t>
      </w:r>
      <w:hyperlink r:id="rId52" w:anchor="/document/407122188/entry/90022" w:tooltip="https://ivo.garant.ru/#/document/407122188/entry/90022" w:history="1"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u w:val="none"/>
          </w:rPr>
          <w:t>2</w:t>
        </w:r>
        <w:r>
          <w:rPr>
            <w:rStyle w:val="afe"/>
            <w:rFonts w:ascii="PT Serif" w:eastAsia="PT Serif" w:hAnsi="PT Serif" w:cs="PT Serif"/>
            <w:color w:val="3272C0"/>
            <w:sz w:val="28"/>
            <w:szCs w:val="28"/>
            <w:vertAlign w:val="superscript"/>
          </w:rPr>
          <w:t> 2</w:t>
        </w:r>
      </w:hyperlink>
      <w:r>
        <w:rPr>
          <w:rFonts w:ascii="PT Serif" w:eastAsia="PT Serif" w:hAnsi="PT Serif" w:cs="PT Serif"/>
          <w:color w:val="22272F"/>
          <w:sz w:val="28"/>
          <w:szCs w:val="28"/>
        </w:rPr>
        <w:t> следующего содержания: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"2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1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</w:t>
      </w:r>
      <w:r>
        <w:rPr>
          <w:rFonts w:ascii="PT Serif" w:eastAsia="PT Serif" w:hAnsi="PT Serif" w:cs="PT Serif"/>
          <w:color w:val="22272F"/>
          <w:sz w:val="28"/>
          <w:szCs w:val="28"/>
        </w:rPr>
        <w:t>ствии) печати Организации: _______________________________________________________________________.</w:t>
      </w:r>
    </w:p>
    <w:p w:rsidR="00DD0F48" w:rsidRDefault="00F8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color w:val="22272F"/>
          <w:sz w:val="28"/>
          <w:szCs w:val="28"/>
        </w:rPr>
        <w:t>2</w:t>
      </w:r>
      <w:r>
        <w:rPr>
          <w:rFonts w:ascii="PT Serif" w:eastAsia="PT Serif" w:hAnsi="PT Serif" w:cs="PT Serif"/>
          <w:color w:val="22272F"/>
          <w:sz w:val="28"/>
          <w:szCs w:val="28"/>
          <w:vertAlign w:val="superscript"/>
        </w:rPr>
        <w:t> 2</w:t>
      </w:r>
      <w:r>
        <w:rPr>
          <w:rFonts w:ascii="PT Serif" w:eastAsia="PT Serif" w:hAnsi="PT Serif" w:cs="PT Serif"/>
          <w:color w:val="22272F"/>
          <w:sz w:val="28"/>
          <w:szCs w:val="28"/>
        </w:rPr>
        <w:t>. Сведения о наличии (отсутствии) символики Организации и ее описани</w:t>
      </w:r>
      <w:proofErr w:type="gramStart"/>
      <w:r>
        <w:rPr>
          <w:rFonts w:ascii="PT Serif" w:eastAsia="PT Serif" w:hAnsi="PT Serif" w:cs="PT Serif"/>
          <w:color w:val="22272F"/>
          <w:sz w:val="28"/>
          <w:szCs w:val="28"/>
        </w:rPr>
        <w:t>е(</w:t>
      </w:r>
      <w:proofErr w:type="gramEnd"/>
      <w:r>
        <w:rPr>
          <w:rFonts w:ascii="PT Serif" w:eastAsia="PT Serif" w:hAnsi="PT Serif" w:cs="PT Serif"/>
          <w:color w:val="22272F"/>
          <w:sz w:val="28"/>
          <w:szCs w:val="28"/>
        </w:rPr>
        <w:t>при наличии):______________________________________________.".</w:t>
      </w: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p w:rsidR="00DD0F48" w:rsidRDefault="00DD0F48">
      <w:pPr>
        <w:jc w:val="both"/>
        <w:rPr>
          <w:rFonts w:ascii="PT Astra Serif" w:hAnsi="PT Astra Serif"/>
          <w:sz w:val="28"/>
          <w:szCs w:val="28"/>
        </w:rPr>
      </w:pPr>
    </w:p>
    <w:sectPr w:rsidR="00DD0F48">
      <w:pgSz w:w="11906" w:h="16838"/>
      <w:pgMar w:top="1418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AA" w:rsidRDefault="00F85AAA">
      <w:r>
        <w:separator/>
      </w:r>
    </w:p>
  </w:endnote>
  <w:endnote w:type="continuationSeparator" w:id="0">
    <w:p w:rsidR="00F85AAA" w:rsidRDefault="00F8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AA" w:rsidRDefault="00F85AAA">
      <w:r>
        <w:separator/>
      </w:r>
    </w:p>
  </w:footnote>
  <w:footnote w:type="continuationSeparator" w:id="0">
    <w:p w:rsidR="00F85AAA" w:rsidRDefault="00F8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7B6"/>
    <w:multiLevelType w:val="multilevel"/>
    <w:tmpl w:val="B0BA64C2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BCB1AA0"/>
    <w:multiLevelType w:val="multilevel"/>
    <w:tmpl w:val="317CB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0D425A"/>
    <w:multiLevelType w:val="multilevel"/>
    <w:tmpl w:val="4DC2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635B06"/>
    <w:multiLevelType w:val="multilevel"/>
    <w:tmpl w:val="628E612E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F48"/>
    <w:rsid w:val="000C44AB"/>
    <w:rsid w:val="00DD0F48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3">
    <w:name w:val="Знак"/>
    <w:basedOn w:val="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unhideWhenUsed/>
    <w:pPr>
      <w:ind w:firstLine="708"/>
    </w:pPr>
    <w:rPr>
      <w:sz w:val="28"/>
      <w:lang w:val="en-US" w:eastAsia="en-US"/>
    </w:rPr>
  </w:style>
  <w:style w:type="character" w:customStyle="1" w:styleId="25">
    <w:name w:val="Основной текст с отступом 2 Знак"/>
    <w:link w:val="24"/>
    <w:rPr>
      <w:sz w:val="28"/>
      <w:szCs w:val="24"/>
    </w:rPr>
  </w:style>
  <w:style w:type="paragraph" w:customStyle="1" w:styleId="12">
    <w:name w:val="Знак1 Знак Знак Знак Знак Знак Знак Знак Знак Знак Знак Знак Знак"/>
    <w:basedOn w:val="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en-US"/>
    </w:rPr>
  </w:style>
  <w:style w:type="character" w:customStyle="1" w:styleId="62">
    <w:name w:val="Стиль6 Знак"/>
    <w:link w:val="63"/>
    <w:rPr>
      <w:sz w:val="28"/>
      <w:szCs w:val="28"/>
    </w:rPr>
  </w:style>
  <w:style w:type="paragraph" w:customStyle="1" w:styleId="63">
    <w:name w:val="Стиль6"/>
    <w:basedOn w:val="a"/>
    <w:link w:val="62"/>
    <w:qFormat/>
    <w:pPr>
      <w:ind w:left="4962"/>
      <w:jc w:val="center"/>
    </w:pPr>
    <w:rPr>
      <w:sz w:val="28"/>
      <w:szCs w:val="28"/>
      <w:lang w:val="en-US" w:eastAsia="en-US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50" Type="http://schemas.openxmlformats.org/officeDocument/2006/relationships/hyperlink" Target="https://ivo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41" Type="http://schemas.openxmlformats.org/officeDocument/2006/relationships/hyperlink" Target="https://ivo.garant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ivo.garant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49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44" Type="http://schemas.openxmlformats.org/officeDocument/2006/relationships/hyperlink" Target="https://ivo.garant.ru/" TargetMode="External"/><Relationship Id="rId52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организации, координации и контроля ГУ МЮ РФ по УрФО</vt:lpstr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организации, координации и контроля ГУ МЮ РФ по УрФО</dc:title>
  <dc:creator>FirsovaOV</dc:creator>
  <cp:lastModifiedBy>Черемных Ольга Сергеевна</cp:lastModifiedBy>
  <cp:revision>2</cp:revision>
  <dcterms:created xsi:type="dcterms:W3CDTF">2025-06-17T10:08:00Z</dcterms:created>
  <dcterms:modified xsi:type="dcterms:W3CDTF">2025-06-17T10:08:00Z</dcterms:modified>
  <cp:version>1048576</cp:version>
</cp:coreProperties>
</file>