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0F" w:rsidRDefault="001B5E0F" w:rsidP="001B5E0F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Анализ нарушений федерального законодательства, </w:t>
      </w:r>
      <w:proofErr w:type="spellStart"/>
      <w:r>
        <w:rPr>
          <w:rFonts w:ascii="PT Astra Serif" w:hAnsi="PT Astra Serif"/>
          <w:sz w:val="28"/>
        </w:rPr>
        <w:t>коррупциогенных</w:t>
      </w:r>
      <w:proofErr w:type="spellEnd"/>
      <w:r>
        <w:rPr>
          <w:rFonts w:ascii="PT Astra Serif" w:hAnsi="PT Astra Serif"/>
          <w:sz w:val="28"/>
        </w:rPr>
        <w:t xml:space="preserve"> факторов и иных недостатков, содержащихся в нормативных правовых актах органов исполнительной власти Свердловской области </w:t>
      </w:r>
      <w:r>
        <w:rPr>
          <w:rFonts w:ascii="PT Astra Serif" w:hAnsi="PT Astra Serif"/>
          <w:sz w:val="28"/>
        </w:rPr>
        <w:br/>
        <w:t>в</w:t>
      </w:r>
      <w:r w:rsidR="008C63AA"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 </w:t>
      </w:r>
      <w:r w:rsidR="008C63AA"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 полугодии 2025 года</w:t>
      </w:r>
    </w:p>
    <w:p w:rsidR="001B5E0F" w:rsidRDefault="001B5E0F" w:rsidP="001B5E0F">
      <w:pPr>
        <w:ind w:firstLine="709"/>
        <w:jc w:val="center"/>
        <w:rPr>
          <w:rFonts w:ascii="PT Astra Serif" w:hAnsi="PT Astra Serif"/>
          <w:sz w:val="28"/>
        </w:rPr>
      </w:pPr>
    </w:p>
    <w:p w:rsidR="001B5E0F" w:rsidRDefault="001B5E0F" w:rsidP="001B5E0F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В</w:t>
      </w:r>
      <w:r w:rsidR="008C63AA"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 </w:t>
      </w:r>
      <w:r w:rsidR="008C63AA">
        <w:rPr>
          <w:rFonts w:ascii="PT Astra Serif" w:hAnsi="PT Astra Serif"/>
          <w:sz w:val="28"/>
        </w:rPr>
        <w:t>втором</w:t>
      </w:r>
      <w:r>
        <w:rPr>
          <w:rFonts w:ascii="PT Astra Serif" w:hAnsi="PT Astra Serif"/>
          <w:sz w:val="28"/>
        </w:rPr>
        <w:t xml:space="preserve"> полугодии 2025 года нарушения федерального законодательства выявлены в </w:t>
      </w:r>
      <w:r w:rsidRPr="007F2EB3"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 xml:space="preserve"> нормативн</w:t>
      </w:r>
      <w:r w:rsidR="007F2EB3"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правов</w:t>
      </w:r>
      <w:r w:rsidR="007F2EB3"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акт</w:t>
      </w:r>
      <w:r w:rsidR="007F2EB3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органов исполнительной власти Свердловской области; </w:t>
      </w:r>
      <w:proofErr w:type="spellStart"/>
      <w:r>
        <w:rPr>
          <w:rFonts w:ascii="PT Astra Serif" w:hAnsi="PT Astra Serif"/>
          <w:sz w:val="28"/>
        </w:rPr>
        <w:t>коррупциогенные</w:t>
      </w:r>
      <w:proofErr w:type="spellEnd"/>
      <w:r>
        <w:rPr>
          <w:rFonts w:ascii="PT Astra Serif" w:hAnsi="PT Astra Serif"/>
          <w:sz w:val="28"/>
        </w:rPr>
        <w:t xml:space="preserve"> факторы выявлены в </w:t>
      </w:r>
      <w:r w:rsidR="008C63AA"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 xml:space="preserve"> нормативн</w:t>
      </w:r>
      <w:r w:rsidR="008C63AA"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правов</w:t>
      </w:r>
      <w:r w:rsidR="008C63AA"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акт</w:t>
      </w:r>
      <w:r w:rsidR="008C63AA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органов исполнительной власти Свердловской области; нарушения регионального законодательства </w:t>
      </w:r>
      <w:r w:rsidR="006721F8">
        <w:rPr>
          <w:rFonts w:ascii="PT Astra Serif" w:hAnsi="PT Astra Serif"/>
          <w:sz w:val="28"/>
        </w:rPr>
        <w:t xml:space="preserve">не </w:t>
      </w:r>
      <w:r w:rsidRPr="003C2A4C">
        <w:rPr>
          <w:rFonts w:ascii="PT Astra Serif" w:hAnsi="PT Astra Serif"/>
          <w:sz w:val="28"/>
        </w:rPr>
        <w:t>выявлены</w:t>
      </w:r>
      <w:r>
        <w:rPr>
          <w:rFonts w:ascii="PT Astra Serif" w:hAnsi="PT Astra Serif"/>
          <w:sz w:val="28"/>
        </w:rPr>
        <w:t>; замечания в части полноты осуществляемого правового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 xml:space="preserve">регулирования выявлены в </w:t>
      </w:r>
      <w:r w:rsidR="006721F8"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 нормативных правовых актах органов исполнительной власти Свердловской области; </w:t>
      </w:r>
      <w:r w:rsidR="00771485">
        <w:rPr>
          <w:rFonts w:ascii="PT Astra Serif" w:hAnsi="PT Astra Serif"/>
          <w:sz w:val="28"/>
        </w:rPr>
        <w:t xml:space="preserve">внутренние </w:t>
      </w:r>
      <w:r w:rsidR="00771485" w:rsidRPr="00771485">
        <w:rPr>
          <w:rFonts w:ascii="PT Astra Serif" w:hAnsi="PT Astra Serif"/>
          <w:sz w:val="28"/>
        </w:rPr>
        <w:t>противоречия выявлены</w:t>
      </w:r>
      <w:r w:rsidRPr="00771485">
        <w:rPr>
          <w:rFonts w:ascii="PT Astra Serif" w:hAnsi="PT Astra Serif"/>
          <w:sz w:val="28"/>
        </w:rPr>
        <w:t xml:space="preserve"> в </w:t>
      </w:r>
      <w:r w:rsidR="006721F8">
        <w:rPr>
          <w:rFonts w:ascii="PT Astra Serif" w:hAnsi="PT Astra Serif"/>
          <w:sz w:val="28"/>
        </w:rPr>
        <w:t>3</w:t>
      </w:r>
      <w:r w:rsidRPr="00771485">
        <w:rPr>
          <w:rFonts w:ascii="PT Astra Serif" w:hAnsi="PT Astra Serif"/>
          <w:sz w:val="28"/>
        </w:rPr>
        <w:t xml:space="preserve"> нормативных правовых актах органов</w:t>
      </w:r>
      <w:r>
        <w:rPr>
          <w:rFonts w:ascii="PT Astra Serif" w:hAnsi="PT Astra Serif"/>
          <w:sz w:val="28"/>
        </w:rPr>
        <w:t xml:space="preserve"> исполнительной власти Свердловской области; нарушения правил юридической техники выявлены в </w:t>
      </w:r>
      <w:r w:rsidR="006B4084">
        <w:rPr>
          <w:rFonts w:ascii="PT Astra Serif" w:hAnsi="PT Astra Serif"/>
          <w:sz w:val="28"/>
        </w:rPr>
        <w:t>179</w:t>
      </w:r>
      <w:r>
        <w:rPr>
          <w:rFonts w:ascii="PT Astra Serif" w:hAnsi="PT Astra Serif"/>
          <w:sz w:val="28"/>
        </w:rPr>
        <w:t xml:space="preserve"> нормативных правовых актах органов исполнительной власти Свердловской области.</w:t>
      </w:r>
      <w:proofErr w:type="gramEnd"/>
    </w:p>
    <w:p w:rsidR="001B5E0F" w:rsidRDefault="00383A5A" w:rsidP="001B5E0F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В</w:t>
      </w:r>
      <w:r w:rsidR="008C63AA"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 </w:t>
      </w:r>
      <w:r w:rsidR="008C63AA">
        <w:rPr>
          <w:rFonts w:ascii="PT Astra Serif" w:hAnsi="PT Astra Serif"/>
          <w:sz w:val="28"/>
        </w:rPr>
        <w:t>втором</w:t>
      </w:r>
      <w:r>
        <w:rPr>
          <w:rFonts w:ascii="PT Astra Serif" w:hAnsi="PT Astra Serif"/>
          <w:sz w:val="28"/>
        </w:rPr>
        <w:t xml:space="preserve"> полугодии 2025 </w:t>
      </w:r>
      <w:r w:rsidR="001B5E0F">
        <w:rPr>
          <w:rFonts w:ascii="PT Astra Serif" w:hAnsi="PT Astra Serif"/>
          <w:sz w:val="28"/>
        </w:rPr>
        <w:t xml:space="preserve">нарушения федерального законодательства выявлены в </w:t>
      </w:r>
      <w:r w:rsidR="00C1184C" w:rsidRPr="00EE198D">
        <w:rPr>
          <w:rFonts w:ascii="PT Astra Serif" w:hAnsi="PT Astra Serif"/>
          <w:sz w:val="28"/>
        </w:rPr>
        <w:t>1</w:t>
      </w:r>
      <w:r w:rsidR="00EE198D">
        <w:rPr>
          <w:rFonts w:ascii="PT Astra Serif" w:hAnsi="PT Astra Serif"/>
          <w:sz w:val="28"/>
        </w:rPr>
        <w:t>4</w:t>
      </w:r>
      <w:r w:rsidR="001B5E0F">
        <w:rPr>
          <w:rFonts w:ascii="PT Astra Serif" w:hAnsi="PT Astra Serif"/>
          <w:sz w:val="28"/>
        </w:rPr>
        <w:t xml:space="preserve"> проектах нормативных правовых актов органов исполнительной власти Свердловской области; </w:t>
      </w:r>
      <w:proofErr w:type="spellStart"/>
      <w:r w:rsidR="001B5E0F">
        <w:rPr>
          <w:rFonts w:ascii="PT Astra Serif" w:hAnsi="PT Astra Serif"/>
          <w:sz w:val="28"/>
        </w:rPr>
        <w:t>коррупциогенные</w:t>
      </w:r>
      <w:proofErr w:type="spellEnd"/>
      <w:r w:rsidR="001B5E0F">
        <w:rPr>
          <w:rFonts w:ascii="PT Astra Serif" w:hAnsi="PT Astra Serif"/>
          <w:sz w:val="28"/>
        </w:rPr>
        <w:t xml:space="preserve"> факторы выявлены в </w:t>
      </w:r>
      <w:r w:rsidR="00EE198D">
        <w:rPr>
          <w:rFonts w:ascii="PT Astra Serif" w:hAnsi="PT Astra Serif"/>
          <w:sz w:val="28"/>
        </w:rPr>
        <w:t>1</w:t>
      </w:r>
      <w:r w:rsidR="001B5E0F">
        <w:rPr>
          <w:rFonts w:ascii="PT Astra Serif" w:hAnsi="PT Astra Serif"/>
          <w:sz w:val="28"/>
        </w:rPr>
        <w:t xml:space="preserve"> проект</w:t>
      </w:r>
      <w:r w:rsidR="00EE198D">
        <w:rPr>
          <w:rFonts w:ascii="PT Astra Serif" w:hAnsi="PT Astra Serif"/>
          <w:sz w:val="28"/>
        </w:rPr>
        <w:t>е</w:t>
      </w:r>
      <w:r w:rsidR="001B5E0F">
        <w:rPr>
          <w:rFonts w:ascii="PT Astra Serif" w:hAnsi="PT Astra Serif"/>
          <w:sz w:val="28"/>
        </w:rPr>
        <w:t xml:space="preserve"> нормативн</w:t>
      </w:r>
      <w:r w:rsidR="00EE198D">
        <w:rPr>
          <w:rFonts w:ascii="PT Astra Serif" w:hAnsi="PT Astra Serif"/>
          <w:sz w:val="28"/>
        </w:rPr>
        <w:t>ого</w:t>
      </w:r>
      <w:r w:rsidR="001B5E0F">
        <w:rPr>
          <w:rFonts w:ascii="PT Astra Serif" w:hAnsi="PT Astra Serif"/>
          <w:sz w:val="28"/>
        </w:rPr>
        <w:t xml:space="preserve"> правов</w:t>
      </w:r>
      <w:r w:rsidR="00EE198D">
        <w:rPr>
          <w:rFonts w:ascii="PT Astra Serif" w:hAnsi="PT Astra Serif"/>
          <w:sz w:val="28"/>
        </w:rPr>
        <w:t>ого</w:t>
      </w:r>
      <w:r w:rsidR="001B5E0F">
        <w:rPr>
          <w:rFonts w:ascii="PT Astra Serif" w:hAnsi="PT Astra Serif"/>
          <w:sz w:val="28"/>
        </w:rPr>
        <w:t xml:space="preserve"> акт</w:t>
      </w:r>
      <w:r w:rsidR="00EE198D">
        <w:rPr>
          <w:rFonts w:ascii="PT Astra Serif" w:hAnsi="PT Astra Serif"/>
          <w:sz w:val="28"/>
        </w:rPr>
        <w:t>а</w:t>
      </w:r>
      <w:r w:rsidR="001B5E0F">
        <w:rPr>
          <w:rFonts w:ascii="PT Astra Serif" w:hAnsi="PT Astra Serif"/>
          <w:sz w:val="28"/>
        </w:rPr>
        <w:t xml:space="preserve"> органов </w:t>
      </w:r>
      <w:r w:rsidR="001B5E0F" w:rsidRPr="007E0543">
        <w:rPr>
          <w:rFonts w:ascii="PT Astra Serif" w:hAnsi="PT Astra Serif"/>
          <w:sz w:val="28"/>
        </w:rPr>
        <w:t>исполнительной власти Свердловской области; нарушения регионального</w:t>
      </w:r>
      <w:r w:rsidR="001B5E0F">
        <w:rPr>
          <w:rFonts w:ascii="PT Astra Serif" w:hAnsi="PT Astra Serif"/>
          <w:sz w:val="28"/>
        </w:rPr>
        <w:t xml:space="preserve"> законодательства выявлены в </w:t>
      </w:r>
      <w:r w:rsidR="00EE198D">
        <w:rPr>
          <w:rFonts w:ascii="PT Astra Serif" w:hAnsi="PT Astra Serif"/>
          <w:sz w:val="28"/>
        </w:rPr>
        <w:t>1</w:t>
      </w:r>
      <w:r w:rsidR="001B5E0F">
        <w:rPr>
          <w:rFonts w:ascii="PT Astra Serif" w:hAnsi="PT Astra Serif"/>
          <w:sz w:val="28"/>
        </w:rPr>
        <w:t xml:space="preserve"> проект</w:t>
      </w:r>
      <w:r w:rsidR="00EE198D">
        <w:rPr>
          <w:rFonts w:ascii="PT Astra Serif" w:hAnsi="PT Astra Serif"/>
          <w:sz w:val="28"/>
        </w:rPr>
        <w:t>е</w:t>
      </w:r>
      <w:r w:rsidR="001B5E0F">
        <w:rPr>
          <w:rFonts w:ascii="PT Astra Serif" w:hAnsi="PT Astra Serif"/>
          <w:sz w:val="28"/>
        </w:rPr>
        <w:t xml:space="preserve"> нормативн</w:t>
      </w:r>
      <w:r w:rsidR="00EE198D">
        <w:rPr>
          <w:rFonts w:ascii="PT Astra Serif" w:hAnsi="PT Astra Serif"/>
          <w:sz w:val="28"/>
        </w:rPr>
        <w:t>ого</w:t>
      </w:r>
      <w:r w:rsidR="001B5E0F">
        <w:rPr>
          <w:rFonts w:ascii="PT Astra Serif" w:hAnsi="PT Astra Serif"/>
          <w:sz w:val="28"/>
        </w:rPr>
        <w:t xml:space="preserve"> правов</w:t>
      </w:r>
      <w:r w:rsidR="00EE198D">
        <w:rPr>
          <w:rFonts w:ascii="PT Astra Serif" w:hAnsi="PT Astra Serif"/>
          <w:sz w:val="28"/>
        </w:rPr>
        <w:t>ого</w:t>
      </w:r>
      <w:r w:rsidR="001B5E0F">
        <w:rPr>
          <w:rFonts w:ascii="PT Astra Serif" w:hAnsi="PT Astra Serif"/>
          <w:sz w:val="28"/>
        </w:rPr>
        <w:t xml:space="preserve"> акт</w:t>
      </w:r>
      <w:r w:rsidR="00EE198D">
        <w:rPr>
          <w:rFonts w:ascii="PT Astra Serif" w:hAnsi="PT Astra Serif"/>
          <w:sz w:val="28"/>
        </w:rPr>
        <w:t>а</w:t>
      </w:r>
      <w:r w:rsidR="001B5E0F">
        <w:rPr>
          <w:rFonts w:ascii="PT Astra Serif" w:hAnsi="PT Astra Serif"/>
          <w:sz w:val="28"/>
        </w:rPr>
        <w:t xml:space="preserve"> органов исполнительной власти Свердловской области;</w:t>
      </w:r>
      <w:proofErr w:type="gramEnd"/>
      <w:r w:rsidR="001B5E0F">
        <w:rPr>
          <w:rFonts w:ascii="PT Astra Serif" w:hAnsi="PT Astra Serif"/>
          <w:sz w:val="28"/>
        </w:rPr>
        <w:t xml:space="preserve"> </w:t>
      </w:r>
      <w:proofErr w:type="gramStart"/>
      <w:r w:rsidR="001B5E0F">
        <w:rPr>
          <w:rFonts w:ascii="PT Astra Serif" w:hAnsi="PT Astra Serif"/>
          <w:sz w:val="28"/>
        </w:rPr>
        <w:t xml:space="preserve">замечания в части </w:t>
      </w:r>
      <w:r w:rsidR="001B5E0F" w:rsidRPr="00CC7954">
        <w:rPr>
          <w:rFonts w:ascii="PT Astra Serif" w:hAnsi="PT Astra Serif"/>
          <w:sz w:val="28"/>
        </w:rPr>
        <w:t xml:space="preserve">полноты осуществляемого правового регулирования выявлены </w:t>
      </w:r>
      <w:r w:rsidR="00CC7954">
        <w:rPr>
          <w:rFonts w:ascii="PT Astra Serif" w:hAnsi="PT Astra Serif"/>
          <w:sz w:val="28"/>
        </w:rPr>
        <w:br/>
      </w:r>
      <w:r w:rsidR="001B5E0F" w:rsidRPr="00CC7954">
        <w:rPr>
          <w:rFonts w:ascii="PT Astra Serif" w:hAnsi="PT Astra Serif"/>
          <w:sz w:val="28"/>
        </w:rPr>
        <w:t xml:space="preserve">в </w:t>
      </w:r>
      <w:r w:rsidR="00EE198D">
        <w:rPr>
          <w:rFonts w:ascii="PT Astra Serif" w:hAnsi="PT Astra Serif"/>
          <w:sz w:val="28"/>
        </w:rPr>
        <w:t>12</w:t>
      </w:r>
      <w:r w:rsidR="001B5E0F">
        <w:rPr>
          <w:rFonts w:ascii="PT Astra Serif" w:hAnsi="PT Astra Serif"/>
          <w:sz w:val="28"/>
        </w:rPr>
        <w:t xml:space="preserve"> проектах нормативных правовых актов органов исполнительной власти Свердловской области; внутренние противоречия выявлены </w:t>
      </w:r>
      <w:r w:rsidR="00CC7954">
        <w:rPr>
          <w:rFonts w:ascii="PT Astra Serif" w:hAnsi="PT Astra Serif"/>
          <w:sz w:val="28"/>
        </w:rPr>
        <w:br/>
      </w:r>
      <w:r w:rsidR="001B5E0F">
        <w:rPr>
          <w:rFonts w:ascii="PT Astra Serif" w:hAnsi="PT Astra Serif"/>
          <w:sz w:val="28"/>
        </w:rPr>
        <w:t xml:space="preserve">в </w:t>
      </w:r>
      <w:r w:rsidR="00EE198D">
        <w:rPr>
          <w:rFonts w:ascii="PT Astra Serif" w:hAnsi="PT Astra Serif"/>
          <w:sz w:val="28"/>
        </w:rPr>
        <w:t>1</w:t>
      </w:r>
      <w:r w:rsidR="001B5E0F">
        <w:rPr>
          <w:rFonts w:ascii="PT Astra Serif" w:hAnsi="PT Astra Serif"/>
          <w:sz w:val="28"/>
        </w:rPr>
        <w:t xml:space="preserve"> проект</w:t>
      </w:r>
      <w:r w:rsidR="00EE198D">
        <w:rPr>
          <w:rFonts w:ascii="PT Astra Serif" w:hAnsi="PT Astra Serif"/>
          <w:sz w:val="28"/>
        </w:rPr>
        <w:t>е</w:t>
      </w:r>
      <w:r w:rsidR="001B5E0F">
        <w:rPr>
          <w:rFonts w:ascii="PT Astra Serif" w:hAnsi="PT Astra Serif"/>
          <w:sz w:val="28"/>
        </w:rPr>
        <w:t xml:space="preserve"> нормативн</w:t>
      </w:r>
      <w:r w:rsidR="00EE198D">
        <w:rPr>
          <w:rFonts w:ascii="PT Astra Serif" w:hAnsi="PT Astra Serif"/>
          <w:sz w:val="28"/>
        </w:rPr>
        <w:t>ого</w:t>
      </w:r>
      <w:r w:rsidR="001B5E0F">
        <w:rPr>
          <w:rFonts w:ascii="PT Astra Serif" w:hAnsi="PT Astra Serif"/>
          <w:sz w:val="28"/>
        </w:rPr>
        <w:t xml:space="preserve"> правов</w:t>
      </w:r>
      <w:r w:rsidR="00EE198D">
        <w:rPr>
          <w:rFonts w:ascii="PT Astra Serif" w:hAnsi="PT Astra Serif"/>
          <w:sz w:val="28"/>
        </w:rPr>
        <w:t>ого</w:t>
      </w:r>
      <w:r w:rsidR="001B5E0F">
        <w:rPr>
          <w:rFonts w:ascii="PT Astra Serif" w:hAnsi="PT Astra Serif"/>
          <w:sz w:val="28"/>
        </w:rPr>
        <w:t xml:space="preserve"> акт</w:t>
      </w:r>
      <w:r w:rsidR="00EE198D">
        <w:rPr>
          <w:rFonts w:ascii="PT Astra Serif" w:hAnsi="PT Astra Serif"/>
          <w:sz w:val="28"/>
        </w:rPr>
        <w:t>а</w:t>
      </w:r>
      <w:r w:rsidR="001B5E0F">
        <w:rPr>
          <w:rFonts w:ascii="PT Astra Serif" w:hAnsi="PT Astra Serif"/>
          <w:sz w:val="28"/>
        </w:rPr>
        <w:t xml:space="preserve"> органов исполнительной власти Свердловской области; нарушения правил юридической техники выявлены в </w:t>
      </w:r>
      <w:r w:rsidR="00EE198D">
        <w:rPr>
          <w:rFonts w:ascii="PT Astra Serif" w:hAnsi="PT Astra Serif"/>
          <w:sz w:val="28"/>
        </w:rPr>
        <w:t>125</w:t>
      </w:r>
      <w:r w:rsidR="001B5E0F">
        <w:rPr>
          <w:rFonts w:ascii="PT Astra Serif" w:hAnsi="PT Astra Serif"/>
          <w:sz w:val="28"/>
        </w:rPr>
        <w:t xml:space="preserve"> проектах нормативных правовых актов органов исполнительной власти Свердловской области.</w:t>
      </w:r>
      <w:proofErr w:type="gramEnd"/>
    </w:p>
    <w:p w:rsidR="001B5E0F" w:rsidRDefault="001B5E0F" w:rsidP="001B5E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Наибольшее количество замечаний и предложений сформулировано в отношении следующих категорий нормативных правовых актов и их проектов:</w:t>
      </w:r>
    </w:p>
    <w:p w:rsidR="001B5E0F" w:rsidRDefault="001B5E0F" w:rsidP="001B5E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нормативные правовые акты, принятые в сфере государственной гражданской службы и противодействия коррупции, а также их проекты;</w:t>
      </w:r>
    </w:p>
    <w:p w:rsidR="001B5E0F" w:rsidRDefault="001B5E0F" w:rsidP="001B5E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административные регламенты предоставления государственных услуг, а также их проекты;</w:t>
      </w:r>
    </w:p>
    <w:p w:rsidR="001B5E0F" w:rsidRDefault="001B5E0F" w:rsidP="001B5E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 w:rsidR="00ED3861">
        <w:rPr>
          <w:rFonts w:ascii="PT Astra Serif" w:hAnsi="PT Astra Serif"/>
          <w:sz w:val="28"/>
        </w:rPr>
        <w:t>положения о региональном контроле (надзоре)</w:t>
      </w:r>
      <w:r>
        <w:rPr>
          <w:rFonts w:ascii="PT Astra Serif" w:hAnsi="PT Astra Serif"/>
          <w:sz w:val="28"/>
        </w:rPr>
        <w:t>.</w:t>
      </w:r>
    </w:p>
    <w:p w:rsidR="001B5E0F" w:rsidRDefault="001B5E0F" w:rsidP="00EE198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Выявленным </w:t>
      </w:r>
      <w:proofErr w:type="spellStart"/>
      <w:r>
        <w:rPr>
          <w:rFonts w:ascii="PT Astra Serif" w:hAnsi="PT Astra Serif"/>
          <w:sz w:val="28"/>
        </w:rPr>
        <w:t>коррупциогенным</w:t>
      </w:r>
      <w:proofErr w:type="spellEnd"/>
      <w:r>
        <w:rPr>
          <w:rFonts w:ascii="PT Astra Serif" w:hAnsi="PT Astra Serif"/>
          <w:sz w:val="28"/>
        </w:rPr>
        <w:t xml:space="preserve"> фактор</w:t>
      </w:r>
      <w:r w:rsidR="008A62F5"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явил</w:t>
      </w:r>
      <w:r w:rsidR="00C45B1D"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сь </w:t>
      </w:r>
      <w:r w:rsidR="00EE198D" w:rsidRPr="00EE198D">
        <w:rPr>
          <w:rFonts w:ascii="PT Astra Serif" w:hAnsi="PT Astra Serif"/>
          <w:sz w:val="28"/>
        </w:rPr>
        <w:t xml:space="preserve">определение компетенции по формуле «вправе» – диспозитивное установление возможности совершения государственными органами, органами местного </w:t>
      </w:r>
      <w:r w:rsidR="00EE198D" w:rsidRPr="00EE198D">
        <w:rPr>
          <w:rFonts w:ascii="PT Astra Serif" w:hAnsi="PT Astra Serif"/>
          <w:sz w:val="28"/>
        </w:rPr>
        <w:lastRenderedPageBreak/>
        <w:t>самоуправления или организациями (их должностными лицами) действий в отношении граждан и организаций</w:t>
      </w:r>
      <w:r w:rsidR="00AF0688">
        <w:rPr>
          <w:rFonts w:ascii="PT Astra Serif" w:hAnsi="PT Astra Serif"/>
          <w:sz w:val="28"/>
        </w:rPr>
        <w:t>.</w:t>
      </w:r>
    </w:p>
    <w:p w:rsidR="001B5E0F" w:rsidRDefault="001B5E0F" w:rsidP="001B5E0F">
      <w:pPr>
        <w:ind w:firstLine="709"/>
        <w:jc w:val="both"/>
        <w:rPr>
          <w:rFonts w:ascii="PT Astra Serif" w:hAnsi="PT Astra Serif"/>
          <w:sz w:val="28"/>
        </w:rPr>
      </w:pPr>
      <w:proofErr w:type="gramStart"/>
      <w:r w:rsidRPr="00862495">
        <w:rPr>
          <w:rFonts w:ascii="PT Astra Serif" w:hAnsi="PT Astra Serif"/>
          <w:sz w:val="28"/>
        </w:rPr>
        <w:t>Наиболее часто встречающимися нарушениями федерального законодательства явились следующие.</w:t>
      </w:r>
      <w:proofErr w:type="gramEnd"/>
    </w:p>
    <w:p w:rsidR="00ED3861" w:rsidRPr="0005398B" w:rsidRDefault="00024051" w:rsidP="00024051">
      <w:pPr>
        <w:pStyle w:val="a5"/>
        <w:ind w:right="-19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 xml:space="preserve">1. </w:t>
      </w:r>
      <w:r w:rsidR="005335AC" w:rsidRPr="0005398B">
        <w:rPr>
          <w:rFonts w:ascii="PT Astra Serif" w:hAnsi="PT Astra Serif"/>
          <w:sz w:val="28"/>
          <w:szCs w:val="28"/>
        </w:rPr>
        <w:t>Указание случаев проведения рейдового осмотра без согласования с органами прокуратуры, не соответствующих федеральному закону.</w:t>
      </w:r>
    </w:p>
    <w:p w:rsidR="005335AC" w:rsidRPr="0005398B" w:rsidRDefault="005335AC" w:rsidP="005335A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398B">
        <w:rPr>
          <w:rFonts w:ascii="PT Astra Serif" w:hAnsi="PT Astra Serif"/>
          <w:sz w:val="28"/>
          <w:szCs w:val="28"/>
        </w:rPr>
        <w:t>Подпунктом 7 пункта 1 Проекта предлагается изложить пункт 96 Положения в новой редакции следующего содержания: рейдовый осмотр может проводиться только по согласованию с органами прокуратуры, за исключением оснований, указанных в пунктах 1-5, 7 и 9 части 1 статьи 57 Федерального закона «О государственном контроле (надзоре) и муниципальном контроле в Российской Федерации».</w:t>
      </w:r>
      <w:proofErr w:type="gramEnd"/>
    </w:p>
    <w:p w:rsidR="005335AC" w:rsidRPr="0005398B" w:rsidRDefault="005335AC" w:rsidP="005335A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398B">
        <w:rPr>
          <w:rFonts w:ascii="PT Astra Serif" w:hAnsi="PT Astra Serif"/>
          <w:sz w:val="28"/>
          <w:szCs w:val="28"/>
        </w:rPr>
        <w:t xml:space="preserve">Однако в соответствии с частью 12 статьи 71 Федерального закона </w:t>
      </w:r>
      <w:r w:rsidRPr="0005398B">
        <w:rPr>
          <w:rFonts w:ascii="PT Astra Serif" w:hAnsi="PT Astra Serif"/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Pr="0005398B">
        <w:rPr>
          <w:rFonts w:ascii="PT Astra Serif" w:hAnsi="PT Astra Serif"/>
          <w:sz w:val="28"/>
          <w:szCs w:val="28"/>
        </w:rPr>
        <w:br/>
        <w:t>в Российской Федерации»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указанного Федерального закона.</w:t>
      </w:r>
      <w:proofErr w:type="gramEnd"/>
    </w:p>
    <w:p w:rsidR="00F11163" w:rsidRPr="0005398B" w:rsidRDefault="00024051" w:rsidP="0038108F">
      <w:pPr>
        <w:pStyle w:val="a5"/>
        <w:ind w:right="-19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 xml:space="preserve">2. </w:t>
      </w:r>
      <w:r w:rsidR="00F11163" w:rsidRPr="0005398B">
        <w:rPr>
          <w:rFonts w:ascii="PT Astra Serif" w:hAnsi="PT Astra Serif"/>
          <w:sz w:val="28"/>
          <w:szCs w:val="28"/>
        </w:rPr>
        <w:t>Установление сроков рассмотрения жалобы контролируемых лиц по досудебному обжалованию, превышающих такие сроки, установленные федеральным законом</w:t>
      </w:r>
      <w:r w:rsidR="00F11036" w:rsidRPr="0005398B">
        <w:rPr>
          <w:rFonts w:ascii="PT Astra Serif" w:hAnsi="PT Astra Serif"/>
          <w:sz w:val="28"/>
          <w:szCs w:val="28"/>
        </w:rPr>
        <w:t>.</w:t>
      </w:r>
    </w:p>
    <w:p w:rsidR="008A62F5" w:rsidRPr="0005398B" w:rsidRDefault="008A62F5" w:rsidP="008A62F5">
      <w:pPr>
        <w:pStyle w:val="a5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Согласно пункту 128 Положения жалоба подлежит рассмотрению должностным лицом Министерства в срок не более двадцати рабочих дней со дня ее регистрации. В случае если для рассмотрения жалобы необходимо истребование дополнительных материалов и документов, указанный срок может быть продлен Министром (Заместителем Министра), но не более чем на двадцать рабочих дней.</w:t>
      </w:r>
    </w:p>
    <w:p w:rsidR="008A62F5" w:rsidRPr="0005398B" w:rsidRDefault="008A62F5" w:rsidP="008A62F5">
      <w:pPr>
        <w:pStyle w:val="a5"/>
        <w:ind w:right="-19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 xml:space="preserve">Однако в соответствии с частями 2, 2.1, 3 статьи 43 Федерального закона «О государственном контроле (надзоре) и муниципальном контроле </w:t>
      </w:r>
      <w:r w:rsidRPr="0005398B">
        <w:rPr>
          <w:rFonts w:ascii="PT Astra Serif" w:hAnsi="PT Astra Serif"/>
          <w:sz w:val="28"/>
          <w:szCs w:val="28"/>
        </w:rPr>
        <w:br/>
        <w:t xml:space="preserve">в Российской Федерации» жалоба подлежит рассмотрению уполномоченным на рассмотрение жалобы органом </w:t>
      </w:r>
      <w:r w:rsidRPr="0005398B">
        <w:rPr>
          <w:rFonts w:ascii="PT Astra Serif" w:hAnsi="PT Astra Serif"/>
          <w:b/>
          <w:sz w:val="28"/>
          <w:szCs w:val="28"/>
        </w:rPr>
        <w:t>в течение пятнадцати рабочих дней</w:t>
      </w:r>
      <w:r w:rsidRPr="0005398B">
        <w:rPr>
          <w:rFonts w:ascii="PT Astra Serif" w:hAnsi="PT Astra Serif"/>
          <w:sz w:val="28"/>
          <w:szCs w:val="28"/>
        </w:rPr>
        <w:t xml:space="preserve"> со дня ее регистрации в подсистеме досудебного обжалования. Жалоба контролируемого лица на решение об отнесении объектов контроля к соответствующей категории риска рассматривается </w:t>
      </w:r>
      <w:r w:rsidR="00640AE0">
        <w:rPr>
          <w:rFonts w:ascii="PT Astra Serif" w:hAnsi="PT Astra Serif"/>
          <w:sz w:val="28"/>
          <w:szCs w:val="28"/>
        </w:rPr>
        <w:br/>
      </w:r>
      <w:r w:rsidRPr="0005398B">
        <w:rPr>
          <w:rFonts w:ascii="PT Astra Serif" w:hAnsi="PT Astra Serif"/>
          <w:sz w:val="28"/>
          <w:szCs w:val="28"/>
        </w:rPr>
        <w:t xml:space="preserve">в срок </w:t>
      </w:r>
      <w:r w:rsidRPr="0005398B">
        <w:rPr>
          <w:rFonts w:ascii="PT Astra Serif" w:hAnsi="PT Astra Serif"/>
          <w:b/>
          <w:sz w:val="28"/>
          <w:szCs w:val="28"/>
        </w:rPr>
        <w:t>не более пяти рабочих дней</w:t>
      </w:r>
      <w:r w:rsidRPr="0005398B">
        <w:rPr>
          <w:rFonts w:ascii="PT Astra Serif" w:hAnsi="PT Astra Serif"/>
          <w:sz w:val="28"/>
          <w:szCs w:val="28"/>
        </w:rPr>
        <w:t xml:space="preserve">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Pr="0005398B">
        <w:rPr>
          <w:rFonts w:ascii="PT Astra Serif" w:hAnsi="PT Astra Serif"/>
          <w:sz w:val="28"/>
          <w:szCs w:val="28"/>
        </w:rPr>
        <w:lastRenderedPageBreak/>
        <w:t xml:space="preserve">уполномоченным органом, но не более чем на пять рабочих дней </w:t>
      </w:r>
      <w:r w:rsidR="00640AE0">
        <w:rPr>
          <w:rFonts w:ascii="PT Astra Serif" w:hAnsi="PT Astra Serif"/>
          <w:sz w:val="28"/>
          <w:szCs w:val="28"/>
        </w:rPr>
        <w:br/>
      </w:r>
      <w:r w:rsidRPr="0005398B">
        <w:rPr>
          <w:rFonts w:ascii="PT Astra Serif" w:hAnsi="PT Astra Serif"/>
          <w:sz w:val="28"/>
          <w:szCs w:val="28"/>
        </w:rPr>
        <w:t>с момента направления запроса.</w:t>
      </w:r>
    </w:p>
    <w:p w:rsidR="008A62F5" w:rsidRPr="0005398B" w:rsidRDefault="008A62F5" w:rsidP="008A62F5">
      <w:pPr>
        <w:pStyle w:val="a5"/>
        <w:ind w:right="-19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Указанным Федеральным законом продление срока рассмотрения жалобы не предусмотрено.</w:t>
      </w:r>
    </w:p>
    <w:p w:rsidR="008A62F5" w:rsidRPr="0005398B" w:rsidRDefault="008A62F5" w:rsidP="008A62F5">
      <w:pPr>
        <w:pStyle w:val="a5"/>
        <w:ind w:right="-19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Применение на практике пункта 128 Положения может повлечь нарушение сроков рассмотрения жалобы, установленных Федеральным законом.</w:t>
      </w:r>
    </w:p>
    <w:p w:rsidR="00F11163" w:rsidRPr="0005398B" w:rsidRDefault="0038108F" w:rsidP="0038108F">
      <w:pPr>
        <w:pStyle w:val="a5"/>
        <w:ind w:right="-19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 xml:space="preserve">3. </w:t>
      </w:r>
      <w:r w:rsidR="00F11163" w:rsidRPr="0005398B">
        <w:rPr>
          <w:rFonts w:ascii="PT Astra Serif" w:hAnsi="PT Astra Serif"/>
          <w:sz w:val="28"/>
          <w:szCs w:val="28"/>
        </w:rPr>
        <w:t xml:space="preserve">Установление </w:t>
      </w:r>
      <w:r w:rsidR="00873492" w:rsidRPr="0005398B">
        <w:rPr>
          <w:rFonts w:ascii="PT Astra Serif" w:hAnsi="PT Astra Serif"/>
          <w:sz w:val="28"/>
          <w:szCs w:val="28"/>
        </w:rPr>
        <w:t>основания для отказа в предоставлении разрешения на осуществление деятельности по перевозке пассажиров и багажа легковым такси, не соответствующих таким основаниям, предусмотренным федеральным законом</w:t>
      </w:r>
      <w:r w:rsidR="00F11036" w:rsidRPr="0005398B">
        <w:rPr>
          <w:rFonts w:ascii="PT Astra Serif" w:hAnsi="PT Astra Serif"/>
          <w:sz w:val="28"/>
          <w:szCs w:val="28"/>
        </w:rPr>
        <w:t>.</w:t>
      </w:r>
    </w:p>
    <w:p w:rsidR="00873492" w:rsidRPr="0005398B" w:rsidRDefault="00873492" w:rsidP="00873492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398B">
        <w:rPr>
          <w:rFonts w:ascii="PT Astra Serif" w:hAnsi="PT Astra Serif"/>
          <w:sz w:val="28"/>
          <w:szCs w:val="28"/>
        </w:rPr>
        <w:t>Пунктом 22 Положения установлены следующие основания для отказа в предоставлении разрешения на осуществление деятельности по перевозке пассажиров и багажа легковым такси на территории Свердловской области: подача заявления и документов не по адресу в пределах места нахождения юридического лица или не по адресу регистрации по месту жительства индивидуального предпринимателя или физического лица;</w:t>
      </w:r>
      <w:proofErr w:type="gramEnd"/>
      <w:r w:rsidRPr="0005398B">
        <w:rPr>
          <w:rFonts w:ascii="PT Astra Serif" w:hAnsi="PT Astra Serif"/>
          <w:sz w:val="28"/>
          <w:szCs w:val="28"/>
        </w:rPr>
        <w:t xml:space="preserve"> подача заявления и документов неуполномоченным лицом; несоответствие заявления, поданного для получения разрешения, форме, предусмотренной соответствующим приложением к Положению.</w:t>
      </w:r>
    </w:p>
    <w:p w:rsidR="00873492" w:rsidRPr="0005398B" w:rsidRDefault="00873492" w:rsidP="008734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 xml:space="preserve">Основания для принятия решения об отказе в предоставлении разрешения установлены частью 9 статьи 5 Федерального закона </w:t>
      </w:r>
      <w:r w:rsidR="00640AE0">
        <w:rPr>
          <w:rFonts w:ascii="PT Astra Serif" w:hAnsi="PT Astra Serif"/>
          <w:sz w:val="28"/>
          <w:szCs w:val="28"/>
        </w:rPr>
        <w:br/>
      </w:r>
      <w:r w:rsidRPr="0005398B">
        <w:rPr>
          <w:rFonts w:ascii="PT Astra Serif" w:hAnsi="PT Astra Serif"/>
          <w:sz w:val="28"/>
          <w:szCs w:val="28"/>
        </w:rPr>
        <w:t xml:space="preserve">«Об организации перевозок пассажиров и багажа легковым такси </w:t>
      </w:r>
      <w:r w:rsidR="00640AE0">
        <w:rPr>
          <w:rFonts w:ascii="PT Astra Serif" w:hAnsi="PT Astra Serif"/>
          <w:sz w:val="28"/>
          <w:szCs w:val="28"/>
        </w:rPr>
        <w:br/>
      </w:r>
      <w:r w:rsidRPr="0005398B">
        <w:rPr>
          <w:rFonts w:ascii="PT Astra Serif" w:hAnsi="PT Astra Serif"/>
          <w:sz w:val="28"/>
          <w:szCs w:val="28"/>
        </w:rPr>
        <w:t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Указанный перечень оснований является закрытым и расширению не подлежит.</w:t>
      </w:r>
    </w:p>
    <w:p w:rsidR="00873492" w:rsidRPr="0005398B" w:rsidRDefault="00873492" w:rsidP="008734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Основания для отказа в предоставлении разрешения, определенные пунктом 22 Положения не соответствуют таким основаниям, установленным Федеральным законом.</w:t>
      </w:r>
    </w:p>
    <w:p w:rsidR="0005398B" w:rsidRPr="0005398B" w:rsidRDefault="0005398B" w:rsidP="0005398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4. Установление ограничений для зон охраны, не предусмотренных для конкретной зоны охраны.</w:t>
      </w:r>
    </w:p>
    <w:p w:rsidR="0005398B" w:rsidRPr="0005398B" w:rsidRDefault="0005398B" w:rsidP="0005398B">
      <w:pPr>
        <w:ind w:firstLine="709"/>
        <w:jc w:val="both"/>
        <w:rPr>
          <w:rFonts w:ascii="PT Astra Serif" w:hAnsi="PT Astra Serif"/>
          <w:sz w:val="28"/>
          <w:szCs w:val="28"/>
          <w:lang w:eastAsia="ja-JP"/>
        </w:rPr>
      </w:pPr>
      <w:proofErr w:type="gramStart"/>
      <w:r w:rsidRPr="0005398B">
        <w:rPr>
          <w:rFonts w:ascii="PT Astra Serif" w:hAnsi="PT Astra Serif"/>
          <w:sz w:val="28"/>
          <w:szCs w:val="28"/>
          <w:lang w:eastAsia="ja-JP"/>
        </w:rPr>
        <w:t>Подпунктами 2, 4 пункта 4, подпунктами 2, 4 пункта 5, подпунктом 2, абзацами пятым-восьмым подпункта 3 пункта 6, подпунктами 2, 4 пункта 7, подпунктами 2, 4 пункта 8 требований к градостроительным регламентам в границах объединенной зоны охраны объектов культурного наследия (далее по тексту – Требования) установлены ограничения для единой зоны регулирования застройки и хозяйственной деятельности объектов культурного наследия в части запрета</w:t>
      </w:r>
      <w:proofErr w:type="gramEnd"/>
      <w:r w:rsidRPr="0005398B">
        <w:rPr>
          <w:rFonts w:ascii="PT Astra Serif" w:hAnsi="PT Astra Serif"/>
          <w:sz w:val="28"/>
          <w:szCs w:val="28"/>
          <w:lang w:eastAsia="ja-JP"/>
        </w:rPr>
        <w:t xml:space="preserve"> </w:t>
      </w:r>
      <w:proofErr w:type="gramStart"/>
      <w:r w:rsidRPr="0005398B">
        <w:rPr>
          <w:rFonts w:ascii="PT Astra Serif" w:hAnsi="PT Astra Serif"/>
          <w:sz w:val="28"/>
          <w:szCs w:val="28"/>
          <w:lang w:eastAsia="ja-JP"/>
        </w:rPr>
        <w:t xml:space="preserve">на размещение отходов производства и потребления, устройство складов и захоронений ядохимикатов; применение для наружной отделки фасадов зданий, </w:t>
      </w:r>
      <w:r w:rsidRPr="0005398B">
        <w:rPr>
          <w:rFonts w:ascii="PT Astra Serif" w:hAnsi="PT Astra Serif"/>
          <w:sz w:val="28"/>
          <w:szCs w:val="28"/>
          <w:lang w:eastAsia="ja-JP"/>
        </w:rPr>
        <w:lastRenderedPageBreak/>
        <w:t>строений и сооружений строительных материалов, архитектурных и цветовых решений, нарушающих характеристики историко-градостроительной и (или) природной среды, в том числе фрагментарная отделка фасадов, а также применение отделочных материалов и ярких цветовых решений, не свойственных исторической среде.</w:t>
      </w:r>
      <w:proofErr w:type="gramEnd"/>
    </w:p>
    <w:p w:rsidR="0005398B" w:rsidRPr="0005398B" w:rsidRDefault="0005398B" w:rsidP="0005398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398B">
        <w:rPr>
          <w:rFonts w:ascii="PT Astra Serif" w:hAnsi="PT Astra Serif"/>
          <w:sz w:val="28"/>
          <w:szCs w:val="28"/>
          <w:lang w:eastAsia="ja-JP"/>
        </w:rPr>
        <w:t xml:space="preserve">Однако в соответствии с абзацами пятым и девятым подпункта «б» </w:t>
      </w:r>
      <w:r w:rsidRPr="0005398B">
        <w:rPr>
          <w:rFonts w:ascii="PT Astra Serif" w:hAnsi="PT Astra Serif"/>
          <w:sz w:val="28"/>
          <w:szCs w:val="28"/>
          <w:lang w:eastAsia="ja-JP"/>
        </w:rPr>
        <w:br/>
        <w:t xml:space="preserve">пункта 9 </w:t>
      </w:r>
      <w:r w:rsidRPr="0005398B">
        <w:rPr>
          <w:rFonts w:ascii="PT Astra Serif" w:hAnsi="PT Astra Serif"/>
          <w:sz w:val="28"/>
          <w:szCs w:val="28"/>
        </w:rPr>
        <w:t xml:space="preserve">Положения о зонах охраны объектов культурного наследия (памятников истории и культуры) народов Российской Федерации, утвержденного постановлением Правительства Российской Федерации </w:t>
      </w:r>
      <w:r w:rsidRPr="0005398B">
        <w:rPr>
          <w:rFonts w:ascii="PT Astra Serif" w:hAnsi="PT Astra Serif"/>
          <w:sz w:val="28"/>
          <w:szCs w:val="28"/>
        </w:rPr>
        <w:br/>
        <w:t>от 12.09.2015 № 972 (далее по тексту – Положение), ограничения на применение для наружной отделки фасадов объектов капитального строительства строительных материалов, архитектурных и цветовых решений, нарушающих характеристики историко-градостроительной и (или) природной</w:t>
      </w:r>
      <w:proofErr w:type="gramEnd"/>
      <w:r w:rsidRPr="0005398B">
        <w:rPr>
          <w:rFonts w:ascii="PT Astra Serif" w:hAnsi="PT Astra Serif"/>
          <w:sz w:val="28"/>
          <w:szCs w:val="28"/>
        </w:rPr>
        <w:t xml:space="preserve"> среды, на размещение отходов производства и потребления, устройство складов и захоронений ядохимикатов устанавливаются в границах охранной зоны, единой охранной зоны.</w:t>
      </w:r>
    </w:p>
    <w:p w:rsidR="0005398B" w:rsidRPr="0005398B" w:rsidRDefault="0005398B" w:rsidP="0005398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Положением не установлено таких ограничений для зоны регулирования застройки и хозяйственной деятельности, единой зоны регулирования застройки и хозяйственной деятельности.</w:t>
      </w:r>
    </w:p>
    <w:p w:rsidR="0005398B" w:rsidRPr="0005398B" w:rsidRDefault="0005398B" w:rsidP="0005398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398B">
        <w:rPr>
          <w:rFonts w:ascii="PT Astra Serif" w:hAnsi="PT Astra Serif"/>
          <w:sz w:val="28"/>
          <w:szCs w:val="28"/>
        </w:rPr>
        <w:t>Согласно пункту 12 Положения ограничения использования земельных участков, водных объектов и их частей, не предусмотренные пунктами 9 – 11, в границах охранной зоны, в том числе единой охранной зоны, зоны регулирования застройки и хозяйственной деятельности, в том числе единой зоны регулирования застройки и хозяйственной деятельности, зоны охраняемого природного ландшафта, в том числе единой зоны охраняемого природного ландшафта, устанавливаться не могут.</w:t>
      </w:r>
      <w:proofErr w:type="gramEnd"/>
    </w:p>
    <w:p w:rsidR="00F11036" w:rsidRPr="0005398B" w:rsidRDefault="0005398B" w:rsidP="0002405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5</w:t>
      </w:r>
      <w:r w:rsidR="00024051" w:rsidRPr="0005398B">
        <w:rPr>
          <w:rFonts w:ascii="PT Astra Serif" w:hAnsi="PT Astra Serif"/>
          <w:sz w:val="28"/>
          <w:szCs w:val="28"/>
        </w:rPr>
        <w:t xml:space="preserve">. </w:t>
      </w:r>
      <w:r w:rsidR="00FC2D06" w:rsidRPr="0005398B">
        <w:rPr>
          <w:rFonts w:ascii="PT Astra Serif" w:hAnsi="PT Astra Serif"/>
          <w:sz w:val="28"/>
          <w:szCs w:val="28"/>
        </w:rPr>
        <w:t>Закрепление оснований для отказа в предоставлении государственной услуги, не соответствующих таким основаниям, предусмотренным федеральным законом</w:t>
      </w:r>
      <w:r w:rsidR="00F11036" w:rsidRPr="0005398B">
        <w:rPr>
          <w:rFonts w:ascii="PT Astra Serif" w:hAnsi="PT Astra Serif"/>
          <w:sz w:val="28"/>
          <w:szCs w:val="28"/>
        </w:rPr>
        <w:t>.</w:t>
      </w:r>
    </w:p>
    <w:p w:rsidR="00FC2D06" w:rsidRPr="0005398B" w:rsidRDefault="00FC2D06" w:rsidP="00FC2D0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 xml:space="preserve">Частью первой пункта 22 Административного регламента определено, что основаниями для отказа в предоставлении государственной услуги являются следующие случаи: заявление подано без приложения, соответствующего установленным требованиям, отчета об оценке рыночной стоимости объекта недвижимости; заявление подано по истечении шести месяцев с даты,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недвижимости; к заявлению приложен отчет об оценке рыночной стоимости объекта недвижимости, составленный лицом, являющимся на дату составления отчета или на день поступления заявления об </w:t>
      </w:r>
      <w:r w:rsidRPr="0005398B">
        <w:rPr>
          <w:rFonts w:ascii="PT Astra Serif" w:hAnsi="PT Astra Serif"/>
          <w:sz w:val="28"/>
          <w:szCs w:val="28"/>
        </w:rPr>
        <w:lastRenderedPageBreak/>
        <w:t>установлении рыночной стоимости работником бюджетного учреждения, в которое такое заявление подано.</w:t>
      </w:r>
    </w:p>
    <w:p w:rsidR="00FC2D06" w:rsidRPr="0005398B" w:rsidRDefault="00FC2D06" w:rsidP="00FC2D06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398B">
        <w:rPr>
          <w:rFonts w:ascii="PT Astra Serif" w:hAnsi="PT Astra Serif"/>
          <w:sz w:val="28"/>
          <w:szCs w:val="28"/>
        </w:rPr>
        <w:t>В соответствии с пунктом 2 части 11 статьи 22.1 Федерального закона «О государственной кадастровой оценке» бюджетное учреждение вправе принять решение в отношении заявления об установлении рыночной стоимости об отказе в установлении кадастровой стоимости объекта недвижимости в размере его рыночной стоимости в связи с использованием неполных и (или) недостоверных сведений, расчетными или иными ошибками, повлиявшими на итоговый результат определения рыночной стоимости</w:t>
      </w:r>
      <w:proofErr w:type="gramEnd"/>
      <w:r w:rsidRPr="0005398B">
        <w:rPr>
          <w:rFonts w:ascii="PT Astra Serif" w:hAnsi="PT Astra Serif"/>
          <w:sz w:val="28"/>
          <w:szCs w:val="28"/>
        </w:rPr>
        <w:t xml:space="preserve"> такого объекта недвижимости, нарушением требований законодательства об оценочной деятельности при составлении отчета об оценке рыночной стоимости такого объекта недвижимости.</w:t>
      </w:r>
    </w:p>
    <w:p w:rsidR="00FC2D06" w:rsidRPr="0005398B" w:rsidRDefault="00FC2D06" w:rsidP="00FC2D0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 xml:space="preserve">Также согласно части 12 статьи 22.1 указанного Федерального закона в случае </w:t>
      </w:r>
      <w:r w:rsidRPr="0005398B">
        <w:rPr>
          <w:rFonts w:ascii="PT Astra Serif" w:hAnsi="PT Astra Serif"/>
          <w:b/>
          <w:sz w:val="28"/>
          <w:szCs w:val="28"/>
        </w:rPr>
        <w:t>принятия решения об отказе</w:t>
      </w:r>
      <w:r w:rsidRPr="0005398B">
        <w:rPr>
          <w:rFonts w:ascii="PT Astra Serif" w:hAnsi="PT Astra Serif"/>
          <w:sz w:val="28"/>
          <w:szCs w:val="28"/>
        </w:rPr>
        <w:t xml:space="preserve"> в установлении рыночной стоимости в таком решении должны быть приведены все выявленные </w:t>
      </w:r>
      <w:r w:rsidR="00640AE0">
        <w:rPr>
          <w:rFonts w:ascii="PT Astra Serif" w:hAnsi="PT Astra Serif"/>
          <w:sz w:val="28"/>
          <w:szCs w:val="28"/>
        </w:rPr>
        <w:br/>
      </w:r>
      <w:r w:rsidRPr="0005398B">
        <w:rPr>
          <w:rFonts w:ascii="PT Astra Serif" w:hAnsi="PT Astra Serif"/>
          <w:sz w:val="28"/>
          <w:szCs w:val="28"/>
        </w:rPr>
        <w:t xml:space="preserve">в ходе рассмотрения заявления об установлении рыночной стоимости </w:t>
      </w:r>
      <w:r w:rsidRPr="0005398B">
        <w:rPr>
          <w:rFonts w:ascii="PT Astra Serif" w:hAnsi="PT Astra Serif"/>
          <w:b/>
          <w:sz w:val="28"/>
          <w:szCs w:val="28"/>
        </w:rPr>
        <w:t>причины, предусмотренные пунктом 2 части 11</w:t>
      </w:r>
      <w:r w:rsidRPr="0005398B">
        <w:rPr>
          <w:rFonts w:ascii="PT Astra Serif" w:hAnsi="PT Astra Serif"/>
          <w:sz w:val="28"/>
          <w:szCs w:val="28"/>
        </w:rPr>
        <w:t xml:space="preserve"> указанной статьи, послужившие </w:t>
      </w:r>
      <w:r w:rsidRPr="0005398B">
        <w:rPr>
          <w:rFonts w:ascii="PT Astra Serif" w:hAnsi="PT Astra Serif"/>
          <w:b/>
          <w:sz w:val="28"/>
          <w:szCs w:val="28"/>
        </w:rPr>
        <w:t>основанием для принятия такого решения</w:t>
      </w:r>
      <w:r w:rsidRPr="0005398B">
        <w:rPr>
          <w:rFonts w:ascii="PT Astra Serif" w:hAnsi="PT Astra Serif"/>
          <w:sz w:val="28"/>
          <w:szCs w:val="28"/>
        </w:rPr>
        <w:t>.</w:t>
      </w:r>
    </w:p>
    <w:p w:rsidR="00FC2D06" w:rsidRPr="0005398B" w:rsidRDefault="00FC2D06" w:rsidP="00FC2D0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Таким образом, Федеральным законом «О государственной кадастровой оценке» для принятия решения об отказе в предоставлении государственной услуги предусмотрены исключительно основания, указанные в пункте 2 части11 статьи 22.1 указанного Федерального закона.</w:t>
      </w:r>
    </w:p>
    <w:p w:rsidR="00FC2D06" w:rsidRPr="0005398B" w:rsidRDefault="00FC2D06" w:rsidP="00FC2D0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Основания, указанные в части первой пункта 22 Административного регламента, закреплены частью 8 статьи 22.1 указанного Федерального закона как случаи, при которых заявление об установлении рыночной стоимости возвращается без рассмотрения, то есть фактически являются основаниями для отказа в приеме документов, необходимых для предоставления государственной услуги.</w:t>
      </w:r>
    </w:p>
    <w:p w:rsidR="00FC2D06" w:rsidRPr="0005398B" w:rsidRDefault="00FC2D06" w:rsidP="00FC2D0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 xml:space="preserve">Так, частью 9 статьи 22.1 Федерального закона «О государственной кадастровой оценке» предписывается бюджетному учреждению в течение пяти рабочих дней со дня поступления заявления об установлении рыночной стоимости направить заявителю уведомление о поступлении указанного заявления и </w:t>
      </w:r>
      <w:r w:rsidRPr="0005398B">
        <w:rPr>
          <w:rFonts w:ascii="PT Astra Serif" w:hAnsi="PT Astra Serif"/>
          <w:b/>
          <w:sz w:val="28"/>
          <w:szCs w:val="28"/>
        </w:rPr>
        <w:t>принятии его к рассмотрению</w:t>
      </w:r>
      <w:r w:rsidRPr="0005398B">
        <w:rPr>
          <w:rFonts w:ascii="PT Astra Serif" w:hAnsi="PT Astra Serif"/>
          <w:sz w:val="28"/>
          <w:szCs w:val="28"/>
        </w:rPr>
        <w:t>.</w:t>
      </w:r>
    </w:p>
    <w:p w:rsidR="00FC2D06" w:rsidRPr="0005398B" w:rsidRDefault="00FC2D06" w:rsidP="00FC2D0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 xml:space="preserve">Следовательно, возвращение документов без рассмотрения влечет </w:t>
      </w:r>
      <w:proofErr w:type="spellStart"/>
      <w:r w:rsidRPr="0005398B">
        <w:rPr>
          <w:rFonts w:ascii="PT Astra Serif" w:hAnsi="PT Astra Serif"/>
          <w:sz w:val="28"/>
          <w:szCs w:val="28"/>
        </w:rPr>
        <w:t>непредоставление</w:t>
      </w:r>
      <w:proofErr w:type="spellEnd"/>
      <w:r w:rsidRPr="0005398B">
        <w:rPr>
          <w:rFonts w:ascii="PT Astra Serif" w:hAnsi="PT Astra Serif"/>
          <w:sz w:val="28"/>
          <w:szCs w:val="28"/>
        </w:rPr>
        <w:t xml:space="preserve"> государственной услуги.</w:t>
      </w:r>
    </w:p>
    <w:p w:rsidR="00802CC8" w:rsidRPr="0005398B" w:rsidRDefault="00802CC8" w:rsidP="007F031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6</w:t>
      </w:r>
      <w:r w:rsidR="007F0319" w:rsidRPr="0005398B">
        <w:rPr>
          <w:rFonts w:ascii="PT Astra Serif" w:hAnsi="PT Astra Serif"/>
          <w:sz w:val="28"/>
          <w:szCs w:val="28"/>
        </w:rPr>
        <w:t xml:space="preserve">. </w:t>
      </w:r>
      <w:r w:rsidR="00591840" w:rsidRPr="0005398B">
        <w:rPr>
          <w:rFonts w:ascii="PT Astra Serif" w:hAnsi="PT Astra Serif"/>
          <w:sz w:val="28"/>
          <w:szCs w:val="28"/>
        </w:rPr>
        <w:t>Отнесение к потребителям государственной услуги органов государственной власти и местного самоуправления.</w:t>
      </w:r>
    </w:p>
    <w:p w:rsidR="00591840" w:rsidRPr="0005398B" w:rsidRDefault="00591840" w:rsidP="005918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Согласно пункту 3 Стандарта качества потребителями услуги являются физические и юридические лица в случае, если результаты определения кадастровой стоимости затрагивают права или обязанности этих лиц, а также органы государственной власти и местного самоуправления.</w:t>
      </w:r>
    </w:p>
    <w:p w:rsidR="00591840" w:rsidRPr="0005398B" w:rsidRDefault="00591840" w:rsidP="0059184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398B">
        <w:rPr>
          <w:rFonts w:ascii="PT Astra Serif" w:hAnsi="PT Astra Serif"/>
          <w:sz w:val="28"/>
          <w:szCs w:val="28"/>
        </w:rPr>
        <w:lastRenderedPageBreak/>
        <w:t xml:space="preserve">В соответствии с пунктом 1 статьи 2 Федерального закона </w:t>
      </w:r>
      <w:r w:rsidR="0005398B">
        <w:rPr>
          <w:rFonts w:ascii="PT Astra Serif" w:hAnsi="PT Astra Serif"/>
          <w:sz w:val="28"/>
          <w:szCs w:val="28"/>
        </w:rPr>
        <w:br/>
      </w:r>
      <w:r w:rsidRPr="0005398B">
        <w:rPr>
          <w:rFonts w:ascii="PT Astra Serif" w:hAnsi="PT Astra Serif"/>
          <w:sz w:val="28"/>
          <w:szCs w:val="28"/>
        </w:rPr>
        <w:t>«Об организации предоставления государственных и муниципальных услуг» государственная услуга, предоставляемая федеральным органом исполнительной власти, органом государственного внебюджетного фонда, исполнительным органом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Федерации, - это деятельность по реализации функций соответственно федерального органа исполнительной власти</w:t>
      </w:r>
      <w:proofErr w:type="gramEnd"/>
      <w:r w:rsidRPr="0005398B">
        <w:rPr>
          <w:rFonts w:ascii="PT Astra Serif" w:hAnsi="PT Astra Serif"/>
          <w:sz w:val="28"/>
          <w:szCs w:val="28"/>
        </w:rPr>
        <w:t xml:space="preserve">, государственного внебюджетного фонда, исполнительного органа субъекта Российской Федерации, а также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Российской, </w:t>
      </w:r>
      <w:proofErr w:type="gramStart"/>
      <w:r w:rsidRPr="0005398B">
        <w:rPr>
          <w:rFonts w:ascii="PT Astra Serif" w:hAnsi="PT Astra Serif"/>
          <w:sz w:val="28"/>
          <w:szCs w:val="28"/>
        </w:rPr>
        <w:t>которая</w:t>
      </w:r>
      <w:proofErr w:type="gramEnd"/>
      <w:r w:rsidRPr="0005398B">
        <w:rPr>
          <w:rFonts w:ascii="PT Astra Serif" w:hAnsi="PT Astra Serif"/>
          <w:sz w:val="28"/>
          <w:szCs w:val="28"/>
        </w:rPr>
        <w:t xml:space="preserve"> осуществляется </w:t>
      </w:r>
      <w:r w:rsidRPr="0005398B">
        <w:rPr>
          <w:rFonts w:ascii="PT Astra Serif" w:hAnsi="PT Astra Serif"/>
          <w:b/>
          <w:sz w:val="28"/>
          <w:szCs w:val="28"/>
        </w:rPr>
        <w:t>по запросам заявителей</w:t>
      </w:r>
      <w:r w:rsidRPr="0005398B">
        <w:rPr>
          <w:rFonts w:ascii="PT Astra Serif" w:hAnsi="PT Astra Serif"/>
          <w:sz w:val="28"/>
          <w:szCs w:val="28"/>
        </w:rPr>
        <w:t xml:space="preserve">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</w:t>
      </w:r>
    </w:p>
    <w:p w:rsidR="00591840" w:rsidRPr="0005398B" w:rsidRDefault="00591840" w:rsidP="0059184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398B">
        <w:rPr>
          <w:rFonts w:ascii="PT Astra Serif" w:hAnsi="PT Astra Serif"/>
          <w:sz w:val="28"/>
          <w:szCs w:val="28"/>
        </w:rPr>
        <w:t>Пунктом 3 статьи 2 указанного Федерального закона установлено, что заявителем является физическое или юридическое лицо (</w:t>
      </w:r>
      <w:r w:rsidRPr="0005398B">
        <w:rPr>
          <w:rFonts w:ascii="PT Astra Serif" w:hAnsi="PT Astra Serif"/>
          <w:b/>
          <w:sz w:val="28"/>
          <w:szCs w:val="28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</w:r>
      <w:r w:rsidRPr="0005398B">
        <w:rPr>
          <w:rFonts w:ascii="PT Astra Serif" w:hAnsi="PT Astra Serif"/>
          <w:sz w:val="28"/>
          <w:szCs w:val="28"/>
        </w:rPr>
        <w:t>) либо их уполномоченные представители, обратившиеся в орган, предоставляющий государственные услуги, либо в организации, указанные в частях 2 и 3 статьи 1 указанного Федерального закона, либо к</w:t>
      </w:r>
      <w:proofErr w:type="gramEnd"/>
      <w:r w:rsidRPr="0005398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5398B">
        <w:rPr>
          <w:rFonts w:ascii="PT Astra Serif" w:hAnsi="PT Astra Serif"/>
          <w:sz w:val="28"/>
          <w:szCs w:val="28"/>
        </w:rPr>
        <w:t>уполномоченным в соответствии с законодательством Российской Федерации экспертам, указанным в части 2 статьи 1 указанного Федерального закона, или в организации, указанные в пункте 5 данной статьи, с запросом о предоставлении государственной услуги, выраженным в устной, письменной или электронной форме.</w:t>
      </w:r>
      <w:proofErr w:type="gramEnd"/>
    </w:p>
    <w:p w:rsidR="00591840" w:rsidRPr="0005398B" w:rsidRDefault="00591840" w:rsidP="005918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Таким образом, органы государственной власти и органы местного самоуправления не могут являться заявителями на предоставление государственной услуги и ее потребителями.</w:t>
      </w:r>
    </w:p>
    <w:p w:rsidR="00024051" w:rsidRPr="0005398B" w:rsidRDefault="00802CC8" w:rsidP="00E034A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7</w:t>
      </w:r>
      <w:r w:rsidR="00024051" w:rsidRPr="0005398B">
        <w:rPr>
          <w:rFonts w:ascii="PT Astra Serif" w:hAnsi="PT Astra Serif"/>
          <w:sz w:val="28"/>
          <w:szCs w:val="28"/>
        </w:rPr>
        <w:t xml:space="preserve">. </w:t>
      </w:r>
      <w:r w:rsidR="00694AF9" w:rsidRPr="0005398B">
        <w:rPr>
          <w:rFonts w:ascii="PT Astra Serif" w:hAnsi="PT Astra Serif"/>
          <w:sz w:val="28"/>
          <w:szCs w:val="28"/>
        </w:rPr>
        <w:t>Нарушения требования об указании перечней документов, необходимых для предоставления государственной услуги, с разделением на документы, которые предоставляет заявитель, и документы, которые заявитель вправе представить</w:t>
      </w:r>
      <w:r w:rsidR="008E7B22">
        <w:rPr>
          <w:rFonts w:ascii="PT Astra Serif" w:hAnsi="PT Astra Serif"/>
          <w:sz w:val="28"/>
          <w:szCs w:val="28"/>
        </w:rPr>
        <w:t xml:space="preserve"> по собственной инициативе</w:t>
      </w:r>
      <w:r w:rsidR="00694AF9" w:rsidRPr="0005398B">
        <w:rPr>
          <w:rFonts w:ascii="PT Astra Serif" w:hAnsi="PT Astra Serif"/>
          <w:sz w:val="28"/>
          <w:szCs w:val="28"/>
        </w:rPr>
        <w:t>.</w:t>
      </w:r>
    </w:p>
    <w:p w:rsidR="00694AF9" w:rsidRPr="0005398B" w:rsidRDefault="00694AF9" w:rsidP="00694AF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398B">
        <w:rPr>
          <w:rFonts w:ascii="PT Astra Serif" w:hAnsi="PT Astra Serif"/>
          <w:sz w:val="28"/>
          <w:szCs w:val="28"/>
        </w:rPr>
        <w:t xml:space="preserve">В соответствии с пунктом 6 статьи 14 Федерального закона </w:t>
      </w:r>
      <w:r w:rsidRPr="0005398B">
        <w:rPr>
          <w:rFonts w:ascii="PT Astra Serif" w:hAnsi="PT Astra Serif"/>
          <w:sz w:val="28"/>
          <w:szCs w:val="28"/>
        </w:rPr>
        <w:br/>
        <w:t xml:space="preserve">«Об организации предоставления государственных и муниципальных услуг» стандарт предоставления государственной или муниципальной услуги должен предусматривать, в том числе, исчерпывающий перечень документов, необходимых в соответствии с законодательными или иными </w:t>
      </w:r>
      <w:r w:rsidRPr="0005398B">
        <w:rPr>
          <w:rFonts w:ascii="PT Astra Serif" w:hAnsi="PT Astra Serif"/>
          <w:sz w:val="28"/>
          <w:szCs w:val="28"/>
        </w:rPr>
        <w:lastRenderedPageBreak/>
        <w:t xml:space="preserve">нормативными правовыми актами для предоставления государственной или муниципальной услуги </w:t>
      </w:r>
      <w:r w:rsidRPr="0005398B">
        <w:rPr>
          <w:rFonts w:ascii="PT Astra Serif" w:hAnsi="PT Astra Serif"/>
          <w:b/>
          <w:sz w:val="28"/>
          <w:szCs w:val="28"/>
        </w:rPr>
        <w:t>с разделением</w:t>
      </w:r>
      <w:r w:rsidRPr="0005398B">
        <w:rPr>
          <w:rFonts w:ascii="PT Astra Serif" w:hAnsi="PT Astra Serif"/>
          <w:sz w:val="28"/>
          <w:szCs w:val="28"/>
        </w:rPr>
        <w:t xml:space="preserve"> на документы и информацию, которые заявитель должен представить самостоятельно, и документы, которые</w:t>
      </w:r>
      <w:proofErr w:type="gramEnd"/>
      <w:r w:rsidRPr="0005398B">
        <w:rPr>
          <w:rFonts w:ascii="PT Astra Serif" w:hAnsi="PT Astra Serif"/>
          <w:sz w:val="28"/>
          <w:szCs w:val="28"/>
        </w:rPr>
        <w:t xml:space="preserve">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94AF9" w:rsidRPr="0005398B" w:rsidRDefault="00694AF9" w:rsidP="00694AF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398B">
        <w:rPr>
          <w:rFonts w:ascii="PT Astra Serif" w:hAnsi="PT Astra Serif"/>
          <w:sz w:val="28"/>
          <w:szCs w:val="28"/>
        </w:rPr>
        <w:t xml:space="preserve">На основании указанного положения Федерального закона </w:t>
      </w:r>
      <w:r w:rsidRPr="0005398B">
        <w:rPr>
          <w:rFonts w:ascii="PT Astra Serif" w:hAnsi="PT Astra Serif"/>
          <w:sz w:val="28"/>
          <w:szCs w:val="28"/>
        </w:rPr>
        <w:br/>
        <w:t xml:space="preserve">подпунктами 6, 7 пункта 14 Порядка разработки и утверждения административных регламентов предоставления государственных услуг, утвержденного постановлением Правительства Свердловской области </w:t>
      </w:r>
      <w:r w:rsidRPr="0005398B">
        <w:rPr>
          <w:rFonts w:ascii="PT Astra Serif" w:hAnsi="PT Astra Serif"/>
          <w:sz w:val="28"/>
          <w:szCs w:val="28"/>
        </w:rPr>
        <w:br/>
        <w:t xml:space="preserve">от 17.10.2018 № 697-ПП, закреплено требование о содержании в разделе административных регламентов предоставления государственных услуг «Стандарт предоставления государственной услуги» следующих подразделов: исчерпывающий перечень документов, необходимых </w:t>
      </w:r>
      <w:r w:rsidR="008E7B22">
        <w:rPr>
          <w:rFonts w:ascii="PT Astra Serif" w:hAnsi="PT Astra Serif"/>
          <w:sz w:val="28"/>
          <w:szCs w:val="28"/>
        </w:rPr>
        <w:br/>
      </w:r>
      <w:r w:rsidRPr="0005398B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 и законодательством Свердловской области для</w:t>
      </w:r>
      <w:proofErr w:type="gramEnd"/>
      <w:r w:rsidRPr="0005398B">
        <w:rPr>
          <w:rFonts w:ascii="PT Astra Serif" w:hAnsi="PT Astra Serif"/>
          <w:sz w:val="28"/>
          <w:szCs w:val="28"/>
        </w:rPr>
        <w:t xml:space="preserve"> предоставления государственной услуги и услуг, являющихся необходимыми и обязательными для предоставления государственной услуги и подлежащих представлению заявителем, способы их получения заявителем, в том числе в электронной форме, порядок их представления; </w:t>
      </w:r>
      <w:proofErr w:type="gramStart"/>
      <w:r w:rsidRPr="0005398B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  <w:proofErr w:type="gramEnd"/>
    </w:p>
    <w:p w:rsidR="00694AF9" w:rsidRPr="0005398B" w:rsidRDefault="00694AF9" w:rsidP="00694AF9">
      <w:pPr>
        <w:ind w:firstLine="709"/>
        <w:jc w:val="both"/>
        <w:rPr>
          <w:rFonts w:ascii="PT Astra Serif" w:hAnsi="PT Astra Serif"/>
          <w:sz w:val="28"/>
          <w:szCs w:val="28"/>
          <w:lang w:eastAsia="ja-JP"/>
        </w:rPr>
      </w:pPr>
      <w:r w:rsidRPr="0005398B">
        <w:rPr>
          <w:rFonts w:ascii="PT Astra Serif" w:hAnsi="PT Astra Serif"/>
          <w:sz w:val="28"/>
          <w:szCs w:val="28"/>
          <w:lang w:eastAsia="ja-JP"/>
        </w:rPr>
        <w:t>В нарушение указанных требований, пункт 9 Административного регламента содержит перечень документов, необходимых для предоставления государственной услуги, без разделения на документы, предоставляемые заявителем, и документы, которые заявитель вправе представить по собственной инициативе.</w:t>
      </w:r>
    </w:p>
    <w:p w:rsidR="003C1BD2" w:rsidRPr="0005398B" w:rsidRDefault="00E034A7" w:rsidP="00024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8</w:t>
      </w:r>
      <w:r w:rsidR="00024051" w:rsidRPr="0005398B">
        <w:rPr>
          <w:rFonts w:ascii="PT Astra Serif" w:hAnsi="PT Astra Serif"/>
          <w:sz w:val="28"/>
          <w:szCs w:val="28"/>
        </w:rPr>
        <w:t xml:space="preserve">. </w:t>
      </w:r>
      <w:r w:rsidR="006D0363" w:rsidRPr="0005398B">
        <w:rPr>
          <w:rFonts w:ascii="PT Astra Serif" w:hAnsi="PT Astra Serif"/>
          <w:sz w:val="28"/>
          <w:szCs w:val="28"/>
        </w:rPr>
        <w:t>Указание оснований для внесения изменений в лицензию на пользование участками недр местного значения, не соответствующих федеральному закону.</w:t>
      </w:r>
    </w:p>
    <w:p w:rsidR="006D0363" w:rsidRPr="0005398B" w:rsidRDefault="006D0363" w:rsidP="006D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В приложении к Проекту содержится образец заявления на предоставление государственной услуги по внесению изменений и дополнений в лицензии на пользование участками недр местного значения на территории Свердловской области (далее по тексту – Образец заявления).</w:t>
      </w:r>
    </w:p>
    <w:p w:rsidR="006D0363" w:rsidRPr="0005398B" w:rsidRDefault="006D0363" w:rsidP="006D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lastRenderedPageBreak/>
        <w:t>В Образце заявления содержится таблица, в которой указаны основания для внесения изменения в лицензию на пользование участками недр местного значения.</w:t>
      </w:r>
    </w:p>
    <w:p w:rsidR="006D0363" w:rsidRPr="0005398B" w:rsidRDefault="006D0363" w:rsidP="006D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 xml:space="preserve">Исчерпывающий перечень оснований для внесения изменений </w:t>
      </w:r>
      <w:r w:rsidR="008E7B22">
        <w:rPr>
          <w:rFonts w:ascii="PT Astra Serif" w:hAnsi="PT Astra Serif"/>
          <w:sz w:val="28"/>
          <w:szCs w:val="28"/>
        </w:rPr>
        <w:br/>
      </w:r>
      <w:r w:rsidRPr="0005398B">
        <w:rPr>
          <w:rFonts w:ascii="PT Astra Serif" w:hAnsi="PT Astra Serif"/>
          <w:sz w:val="28"/>
          <w:szCs w:val="28"/>
        </w:rPr>
        <w:t>в лицензию на пользование недрами установлен частью пятой статьи 12.1 Закона Российской Федерации «О недрах». Установление иных оснований органами государственной власти субъектов Российской Федерации федеральным законодательством не предусмотрено.</w:t>
      </w:r>
    </w:p>
    <w:p w:rsidR="006D0363" w:rsidRPr="0005398B" w:rsidRDefault="006D0363" w:rsidP="006D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Между тем, в строке первой вышеуказанной таблицы в Образце заявления закреплено такое основание, как значительное изменение объема потребления произведенной продукции по обстоятельствам, не зависящим от пользователя недр, не предусмотренное положениями Закона Российской Федерации «О недрах».</w:t>
      </w:r>
    </w:p>
    <w:p w:rsidR="006D0363" w:rsidRPr="0005398B" w:rsidRDefault="006D0363" w:rsidP="006D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 xml:space="preserve">В строке восьмой указанной таблицы закреплено основание «Включение горноотводного акта и графических приложений к нему </w:t>
      </w:r>
      <w:r w:rsidR="008E7B22">
        <w:rPr>
          <w:rFonts w:ascii="PT Astra Serif" w:hAnsi="PT Astra Serif"/>
          <w:sz w:val="28"/>
          <w:szCs w:val="28"/>
        </w:rPr>
        <w:br/>
      </w:r>
      <w:r w:rsidRPr="0005398B">
        <w:rPr>
          <w:rFonts w:ascii="PT Astra Serif" w:hAnsi="PT Astra Serif"/>
          <w:sz w:val="28"/>
          <w:szCs w:val="28"/>
        </w:rPr>
        <w:t>в соответствии с Законом «О недрах».</w:t>
      </w:r>
    </w:p>
    <w:p w:rsidR="006D0363" w:rsidRPr="0005398B" w:rsidRDefault="006D0363" w:rsidP="006D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Однако в соответствии с частью седьмой статьи 12.1 Закона Российской Федерации «О недрах» внесение изменений в лицензию на пользование недрами по основаниям, предусмотренным пунктами 6 и 8 части пятой данной статьи, осуществляется по инициативе органов, указанных в части шестой настоящей статьи.</w:t>
      </w:r>
    </w:p>
    <w:p w:rsidR="006D0363" w:rsidRPr="0005398B" w:rsidRDefault="006D0363" w:rsidP="006D036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398B">
        <w:rPr>
          <w:rFonts w:ascii="PT Astra Serif" w:hAnsi="PT Astra Serif"/>
          <w:sz w:val="28"/>
          <w:szCs w:val="28"/>
        </w:rPr>
        <w:t>Согласно пункту 1 статьи 2 Федерального закона «Об организации предоставления государственных и муниципальных услуг» государственной услугой, предоставляемой федеральным органом исполнительной власти, органом государственного внебюджетного фонда, исполнительным органом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Федерации, является деятельность по реализации функций соответственно федерального органа исполнительной власти, государственного внебюджетного</w:t>
      </w:r>
      <w:proofErr w:type="gramEnd"/>
      <w:r w:rsidRPr="0005398B">
        <w:rPr>
          <w:rFonts w:ascii="PT Astra Serif" w:hAnsi="PT Astra Serif"/>
          <w:sz w:val="28"/>
          <w:szCs w:val="28"/>
        </w:rPr>
        <w:t xml:space="preserve"> фонда, исполнительного органа субъекта Российской Федерации, а также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Федерации, которая осуществляется </w:t>
      </w:r>
      <w:r w:rsidRPr="0005398B">
        <w:rPr>
          <w:rFonts w:ascii="PT Astra Serif" w:hAnsi="PT Astra Serif"/>
          <w:b/>
          <w:sz w:val="28"/>
          <w:szCs w:val="28"/>
        </w:rPr>
        <w:t>по запросам заявителей</w:t>
      </w:r>
      <w:r w:rsidRPr="0005398B">
        <w:rPr>
          <w:rFonts w:ascii="PT Astra Serif" w:hAnsi="PT Astra Serif"/>
          <w:sz w:val="28"/>
          <w:szCs w:val="28"/>
        </w:rPr>
        <w:t xml:space="preserve">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услуги.</w:t>
      </w:r>
    </w:p>
    <w:p w:rsidR="006D0363" w:rsidRPr="0005398B" w:rsidRDefault="006D0363" w:rsidP="006D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t>Таким образом, деятельность органа государственной власти, осуществляемая не по запросам заявителей, не является государственной услугой.</w:t>
      </w:r>
    </w:p>
    <w:p w:rsidR="006D0363" w:rsidRPr="0005398B" w:rsidRDefault="006D0363" w:rsidP="006D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398B">
        <w:rPr>
          <w:rFonts w:ascii="PT Astra Serif" w:hAnsi="PT Astra Serif"/>
          <w:sz w:val="28"/>
          <w:szCs w:val="28"/>
        </w:rPr>
        <w:lastRenderedPageBreak/>
        <w:t xml:space="preserve">Также отмечаем, что наименование остальных оснований, закрепленных в таблице в Образце заявления, необходимо изложить </w:t>
      </w:r>
      <w:r w:rsidR="008E7B22">
        <w:rPr>
          <w:rFonts w:ascii="PT Astra Serif" w:hAnsi="PT Astra Serif"/>
          <w:sz w:val="28"/>
          <w:szCs w:val="28"/>
        </w:rPr>
        <w:br/>
      </w:r>
      <w:r w:rsidRPr="0005398B">
        <w:rPr>
          <w:rFonts w:ascii="PT Astra Serif" w:hAnsi="PT Astra Serif"/>
          <w:sz w:val="28"/>
          <w:szCs w:val="28"/>
        </w:rPr>
        <w:t>в точном соответствии с положениями части пятой статьи 12.1 Закона Российской Федерации «О недрах».</w:t>
      </w:r>
    </w:p>
    <w:p w:rsidR="00662F6D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 w:rsidRPr="00862495">
        <w:rPr>
          <w:rFonts w:ascii="PT Astra Serif" w:hAnsi="PT Astra Serif"/>
          <w:sz w:val="28"/>
        </w:rPr>
        <w:t>Наиболее часто встречающимся нарушением регионального законодательства явилось несоблюдение требований Порядка разработки и утверждения административных регламентов предоставления</w:t>
      </w:r>
      <w:r>
        <w:rPr>
          <w:rFonts w:ascii="PT Astra Serif" w:hAnsi="PT Astra Serif"/>
          <w:sz w:val="28"/>
        </w:rPr>
        <w:t xml:space="preserve"> государственных услуг, утвержденного постановлением Правительства Свердловской области от 17.10.2018 № 697-ПП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в том числе:</w:t>
      </w:r>
    </w:p>
    <w:p w:rsidR="00086401" w:rsidRPr="003C529F" w:rsidRDefault="00086401" w:rsidP="00662F6D">
      <w:pPr>
        <w:ind w:firstLine="709"/>
        <w:jc w:val="both"/>
        <w:rPr>
          <w:rFonts w:ascii="PT Astra Serif" w:hAnsi="PT Astra Serif"/>
          <w:sz w:val="28"/>
        </w:rPr>
      </w:pPr>
      <w:r w:rsidRPr="003C529F">
        <w:rPr>
          <w:rFonts w:ascii="PT Astra Serif" w:hAnsi="PT Astra Serif"/>
          <w:sz w:val="28"/>
        </w:rPr>
        <w:t>- требования к структуре административного регламента;</w:t>
      </w:r>
    </w:p>
    <w:p w:rsidR="0093347D" w:rsidRPr="0093347D" w:rsidRDefault="0093347D" w:rsidP="0093347D">
      <w:pPr>
        <w:ind w:firstLine="709"/>
        <w:jc w:val="both"/>
        <w:rPr>
          <w:rFonts w:ascii="PT Astra Serif" w:hAnsi="PT Astra Serif"/>
          <w:sz w:val="28"/>
        </w:rPr>
      </w:pPr>
      <w:r w:rsidRPr="003C529F">
        <w:rPr>
          <w:rFonts w:ascii="PT Astra Serif" w:hAnsi="PT Astra Serif"/>
          <w:sz w:val="28"/>
        </w:rPr>
        <w:t>- требования к содержанию разделов административного регламента;</w:t>
      </w:r>
    </w:p>
    <w:p w:rsidR="00A94C73" w:rsidRPr="0093347D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 w:rsidRPr="0093347D">
        <w:rPr>
          <w:rFonts w:ascii="PT Astra Serif" w:hAnsi="PT Astra Serif"/>
          <w:sz w:val="28"/>
        </w:rPr>
        <w:t>-</w:t>
      </w:r>
      <w:r w:rsidR="00862495">
        <w:rPr>
          <w:rFonts w:ascii="PT Astra Serif" w:hAnsi="PT Astra Serif"/>
          <w:sz w:val="28"/>
        </w:rPr>
        <w:t xml:space="preserve"> положения о </w:t>
      </w:r>
      <w:proofErr w:type="spellStart"/>
      <w:r w:rsidR="00862495">
        <w:rPr>
          <w:rFonts w:ascii="PT Astra Serif" w:hAnsi="PT Astra Serif"/>
          <w:sz w:val="28"/>
        </w:rPr>
        <w:t>непредоставлении</w:t>
      </w:r>
      <w:proofErr w:type="spellEnd"/>
      <w:r w:rsidR="00862495">
        <w:rPr>
          <w:rFonts w:ascii="PT Astra Serif" w:hAnsi="PT Astra Serif"/>
          <w:sz w:val="28"/>
        </w:rPr>
        <w:t xml:space="preserve"> государственной услуги в МФЦ, предоставление которой в МФЦ определено региональным законодательством</w:t>
      </w:r>
      <w:r w:rsidR="0093347D" w:rsidRPr="0093347D">
        <w:rPr>
          <w:rFonts w:ascii="PT Astra Serif" w:hAnsi="PT Astra Serif"/>
          <w:sz w:val="26"/>
          <w:szCs w:val="26"/>
        </w:rPr>
        <w:t>.</w:t>
      </w:r>
    </w:p>
    <w:p w:rsidR="00662F6D" w:rsidRPr="00DB0108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 w:rsidRPr="0075248C">
        <w:rPr>
          <w:rFonts w:ascii="PT Astra Serif" w:hAnsi="PT Astra Serif"/>
          <w:sz w:val="28"/>
        </w:rPr>
        <w:t>Наиболее часто встречающимися замечаниями в части полноты осуществляемого правового регулирования явились следующие:</w:t>
      </w:r>
    </w:p>
    <w:p w:rsidR="00662F6D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 w:rsidRPr="00DB0108">
        <w:rPr>
          <w:rFonts w:ascii="PT Astra Serif" w:hAnsi="PT Astra Serif"/>
          <w:sz w:val="28"/>
        </w:rPr>
        <w:t xml:space="preserve">- неполное указание </w:t>
      </w:r>
      <w:r w:rsidR="009451B2">
        <w:rPr>
          <w:rFonts w:ascii="PT Astra Serif" w:hAnsi="PT Astra Serif"/>
          <w:sz w:val="28"/>
        </w:rPr>
        <w:t>оснований для отказа в предоставлении государственной услуги</w:t>
      </w:r>
      <w:r w:rsidRPr="00DB0108">
        <w:rPr>
          <w:rFonts w:ascii="PT Astra Serif" w:hAnsi="PT Astra Serif"/>
          <w:sz w:val="28"/>
        </w:rPr>
        <w:t>;</w:t>
      </w:r>
    </w:p>
    <w:p w:rsidR="009451B2" w:rsidRPr="00DB0108" w:rsidRDefault="009451B2" w:rsidP="00662F6D">
      <w:pPr>
        <w:ind w:firstLine="709"/>
        <w:jc w:val="both"/>
        <w:rPr>
          <w:rFonts w:ascii="PT Astra Serif" w:hAnsi="PT Astra Serif"/>
          <w:sz w:val="28"/>
        </w:rPr>
      </w:pPr>
      <w:r w:rsidRPr="009451B2">
        <w:rPr>
          <w:rFonts w:ascii="PT Astra Serif" w:hAnsi="PT Astra Serif"/>
          <w:sz w:val="28"/>
        </w:rPr>
        <w:t xml:space="preserve">- отсутствие перечня административных процедур (действий), </w:t>
      </w:r>
      <w:r w:rsidRPr="00BC6D84">
        <w:rPr>
          <w:rFonts w:ascii="PT Astra Serif" w:hAnsi="PT Astra Serif"/>
          <w:sz w:val="28"/>
        </w:rPr>
        <w:t>выполняемых МФЦ</w:t>
      </w:r>
      <w:r w:rsidR="003D6BB7">
        <w:rPr>
          <w:rFonts w:ascii="PT Astra Serif" w:hAnsi="PT Astra Serif"/>
          <w:sz w:val="28"/>
        </w:rPr>
        <w:t>;</w:t>
      </w:r>
    </w:p>
    <w:p w:rsidR="00BC6D84" w:rsidRPr="00DB0108" w:rsidRDefault="00EE3509" w:rsidP="00BC6D84">
      <w:pPr>
        <w:ind w:firstLine="709"/>
        <w:jc w:val="both"/>
        <w:rPr>
          <w:rFonts w:ascii="PT Astra Serif" w:hAnsi="PT Astra Serif"/>
          <w:sz w:val="28"/>
        </w:rPr>
      </w:pPr>
      <w:r w:rsidRPr="00DB0108">
        <w:rPr>
          <w:rFonts w:ascii="PT Astra Serif" w:hAnsi="PT Astra Serif"/>
          <w:sz w:val="28"/>
        </w:rPr>
        <w:t>-</w:t>
      </w:r>
      <w:r w:rsidR="00BC6D84" w:rsidRPr="00DB0108">
        <w:rPr>
          <w:rFonts w:ascii="PT Astra Serif" w:hAnsi="PT Astra Serif"/>
          <w:sz w:val="28"/>
        </w:rPr>
        <w:t xml:space="preserve"> неполное выполнение требований к описанию административной </w:t>
      </w:r>
      <w:r w:rsidR="00BC6D84" w:rsidRPr="003D6BB7">
        <w:rPr>
          <w:rFonts w:ascii="PT Astra Serif" w:hAnsi="PT Astra Serif"/>
          <w:sz w:val="28"/>
        </w:rPr>
        <w:t>процедуры;</w:t>
      </w:r>
    </w:p>
    <w:p w:rsidR="00EE3509" w:rsidRPr="00DB0108" w:rsidRDefault="00BC6D84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 w:rsidR="00EE3509" w:rsidRPr="00DB0108">
        <w:rPr>
          <w:rFonts w:ascii="PT Astra Serif" w:hAnsi="PT Astra Serif"/>
          <w:sz w:val="28"/>
        </w:rPr>
        <w:t xml:space="preserve"> отсутствие </w:t>
      </w:r>
      <w:r w:rsidR="00DB7EEA">
        <w:rPr>
          <w:rFonts w:ascii="PT Astra Serif" w:hAnsi="PT Astra Serif"/>
          <w:sz w:val="28"/>
        </w:rPr>
        <w:t xml:space="preserve">в форме </w:t>
      </w:r>
      <w:r w:rsidR="00DB7EEA" w:rsidRPr="00DB7EEA">
        <w:rPr>
          <w:rFonts w:ascii="PT Astra Serif" w:hAnsi="PT Astra Serif"/>
          <w:sz w:val="28"/>
        </w:rPr>
        <w:t xml:space="preserve">заявления о предоставлении права на осуществление деятельности службы заказа легкового такси граф для </w:t>
      </w:r>
      <w:r w:rsidR="00DB7EEA" w:rsidRPr="00FF0A0B">
        <w:rPr>
          <w:rFonts w:ascii="PT Astra Serif" w:hAnsi="PT Astra Serif"/>
          <w:sz w:val="28"/>
        </w:rPr>
        <w:t>указания требуемых сведений</w:t>
      </w:r>
      <w:r w:rsidR="00EE3509" w:rsidRPr="00FF0A0B">
        <w:rPr>
          <w:rFonts w:ascii="PT Astra Serif" w:hAnsi="PT Astra Serif"/>
          <w:sz w:val="28"/>
        </w:rPr>
        <w:t>;</w:t>
      </w:r>
    </w:p>
    <w:p w:rsidR="00FF0A0B" w:rsidRDefault="00FF0A0B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неполное указание спос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бов предоставления заявителем </w:t>
      </w:r>
      <w:r w:rsidRPr="00D312F5">
        <w:rPr>
          <w:rFonts w:ascii="PT Astra Serif" w:hAnsi="PT Astra Serif"/>
          <w:sz w:val="28"/>
        </w:rPr>
        <w:t>документов, необходимых для предоставления государственной услуги;</w:t>
      </w:r>
    </w:p>
    <w:p w:rsidR="00D312F5" w:rsidRDefault="00D312F5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неполное указание запретов </w:t>
      </w:r>
      <w:r w:rsidRPr="00D312F5">
        <w:rPr>
          <w:rFonts w:ascii="PT Astra Serif" w:hAnsi="PT Astra Serif"/>
          <w:sz w:val="28"/>
        </w:rPr>
        <w:t xml:space="preserve">требовать от заявителя представления </w:t>
      </w:r>
      <w:r w:rsidRPr="00AE4BE0">
        <w:rPr>
          <w:rFonts w:ascii="PT Astra Serif" w:hAnsi="PT Astra Serif"/>
          <w:sz w:val="28"/>
        </w:rPr>
        <w:t>документов, информации или осуществления действий</w:t>
      </w:r>
      <w:r w:rsidRPr="00AE4BE0">
        <w:rPr>
          <w:rFonts w:ascii="PT Astra Serif" w:hAnsi="PT Astra Serif"/>
          <w:sz w:val="28"/>
        </w:rPr>
        <w:t>;</w:t>
      </w:r>
    </w:p>
    <w:p w:rsidR="00AE4BE0" w:rsidRDefault="00AE4BE0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указание осно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ания для отказа в предоставлении государственной </w:t>
      </w:r>
      <w:r w:rsidRPr="00420DCA">
        <w:rPr>
          <w:rFonts w:ascii="PT Astra Serif" w:hAnsi="PT Astra Serif"/>
          <w:sz w:val="28"/>
        </w:rPr>
        <w:t>услуги, не предусмотренного федеральным законодательством;</w:t>
      </w:r>
    </w:p>
    <w:p w:rsidR="00AE4BE0" w:rsidRDefault="00420DCA" w:rsidP="00662F6D">
      <w:pPr>
        <w:ind w:firstLine="709"/>
        <w:jc w:val="both"/>
        <w:rPr>
          <w:rFonts w:ascii="PT Astra Serif" w:hAnsi="PT Astra Serif"/>
          <w:sz w:val="28"/>
        </w:rPr>
      </w:pPr>
      <w:r w:rsidRPr="00420DCA">
        <w:rPr>
          <w:rFonts w:ascii="PT Astra Serif" w:hAnsi="PT Astra Serif"/>
          <w:sz w:val="28"/>
        </w:rPr>
        <w:t xml:space="preserve">- закрепление в качестве </w:t>
      </w:r>
      <w:proofErr w:type="gramStart"/>
      <w:r w:rsidRPr="00420DCA">
        <w:rPr>
          <w:rFonts w:ascii="PT Astra Serif" w:hAnsi="PT Astra Serif"/>
          <w:sz w:val="28"/>
        </w:rPr>
        <w:t>осно</w:t>
      </w:r>
      <w:r w:rsidRPr="00420DCA">
        <w:rPr>
          <w:rFonts w:ascii="PT Astra Serif" w:hAnsi="PT Astra Serif"/>
          <w:sz w:val="28"/>
        </w:rPr>
        <w:t>в</w:t>
      </w:r>
      <w:r w:rsidRPr="00420DCA">
        <w:rPr>
          <w:rFonts w:ascii="PT Astra Serif" w:hAnsi="PT Astra Serif"/>
          <w:sz w:val="28"/>
        </w:rPr>
        <w:t>ания предоставления государственной услуги случаев</w:t>
      </w:r>
      <w:r w:rsidRPr="00420DCA">
        <w:rPr>
          <w:rFonts w:ascii="PT Astra Serif" w:hAnsi="PT Astra Serif"/>
          <w:sz w:val="28"/>
        </w:rPr>
        <w:t xml:space="preserve"> прекращения действия лицензии</w:t>
      </w:r>
      <w:proofErr w:type="gramEnd"/>
      <w:r w:rsidRPr="00420DCA">
        <w:rPr>
          <w:rFonts w:ascii="PT Astra Serif" w:hAnsi="PT Astra Serif"/>
          <w:sz w:val="28"/>
        </w:rPr>
        <w:t xml:space="preserve"> по инициативе </w:t>
      </w:r>
      <w:r w:rsidRPr="009926C3">
        <w:rPr>
          <w:rFonts w:ascii="PT Astra Serif" w:hAnsi="PT Astra Serif"/>
          <w:sz w:val="28"/>
        </w:rPr>
        <w:t>лицензирующего органа</w:t>
      </w:r>
      <w:r w:rsidRPr="009926C3">
        <w:rPr>
          <w:rFonts w:ascii="PT Astra Serif" w:hAnsi="PT Astra Serif"/>
          <w:sz w:val="28"/>
        </w:rPr>
        <w:t>;</w:t>
      </w:r>
    </w:p>
    <w:p w:rsidR="009926C3" w:rsidRDefault="009926C3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установление только нижнего предела срока регистрации обращений граждан при возможности выхода такого срока за </w:t>
      </w:r>
      <w:r w:rsidRPr="00FF18AC">
        <w:rPr>
          <w:rFonts w:ascii="PT Astra Serif" w:hAnsi="PT Astra Serif"/>
          <w:sz w:val="28"/>
        </w:rPr>
        <w:t>установленный федеральным законодательством срок;</w:t>
      </w:r>
    </w:p>
    <w:p w:rsidR="00254591" w:rsidRDefault="00C810DB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- отсутствие закрепления оснований для отказа в предоставлении государственной услуги, предусмотренных федеральным </w:t>
      </w:r>
      <w:r w:rsidRPr="008C3BFE">
        <w:rPr>
          <w:rFonts w:ascii="PT Astra Serif" w:hAnsi="PT Astra Serif"/>
          <w:sz w:val="28"/>
        </w:rPr>
        <w:t>законодательством;</w:t>
      </w:r>
    </w:p>
    <w:p w:rsidR="008C3BFE" w:rsidRDefault="008C3BFE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недостаточное внесение изменений в админист</w:t>
      </w: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sz w:val="28"/>
        </w:rPr>
        <w:t>ативный регламент</w:t>
      </w:r>
      <w:r w:rsidR="00C62D0D" w:rsidRPr="00C62D0D">
        <w:rPr>
          <w:rFonts w:ascii="PT Astra Serif" w:hAnsi="PT Astra Serif"/>
          <w:sz w:val="28"/>
          <w:highlight w:val="yellow"/>
        </w:rPr>
        <w:t xml:space="preserve"> </w:t>
      </w:r>
      <w:r w:rsidR="00C62D0D" w:rsidRPr="00C62D0D">
        <w:rPr>
          <w:rFonts w:ascii="PT Astra Serif" w:hAnsi="PT Astra Serif"/>
          <w:sz w:val="28"/>
        </w:rPr>
        <w:t>предоставления государственной услуги</w:t>
      </w:r>
      <w:r w:rsidRPr="00C62D0D">
        <w:rPr>
          <w:rFonts w:ascii="PT Astra Serif" w:hAnsi="PT Astra Serif"/>
          <w:sz w:val="28"/>
        </w:rPr>
        <w:t>, нап</w:t>
      </w:r>
      <w:r w:rsidRPr="00C62D0D">
        <w:rPr>
          <w:rFonts w:ascii="PT Astra Serif" w:hAnsi="PT Astra Serif"/>
          <w:sz w:val="28"/>
        </w:rPr>
        <w:t>р</w:t>
      </w:r>
      <w:r w:rsidRPr="00C62D0D">
        <w:rPr>
          <w:rFonts w:ascii="PT Astra Serif" w:hAnsi="PT Astra Serif"/>
          <w:sz w:val="28"/>
        </w:rPr>
        <w:t>авленных на приведение его</w:t>
      </w:r>
      <w:r>
        <w:rPr>
          <w:rFonts w:ascii="PT Astra Serif" w:hAnsi="PT Astra Serif"/>
          <w:sz w:val="28"/>
        </w:rPr>
        <w:t xml:space="preserve"> в соответствие с изменениями </w:t>
      </w:r>
      <w:r w:rsidRPr="00166596">
        <w:rPr>
          <w:rFonts w:ascii="PT Astra Serif" w:hAnsi="PT Astra Serif"/>
          <w:sz w:val="28"/>
        </w:rPr>
        <w:t>в федеральном законодательстве;</w:t>
      </w:r>
    </w:p>
    <w:p w:rsidR="008C3BFE" w:rsidRDefault="00166596" w:rsidP="00662F6D">
      <w:pPr>
        <w:ind w:firstLine="709"/>
        <w:jc w:val="both"/>
        <w:rPr>
          <w:rFonts w:ascii="PT Astra Serif" w:hAnsi="PT Astra Serif"/>
          <w:sz w:val="28"/>
        </w:rPr>
      </w:pPr>
      <w:r w:rsidRPr="00C62D0D">
        <w:rPr>
          <w:rFonts w:ascii="PT Astra Serif" w:hAnsi="PT Astra Serif"/>
          <w:sz w:val="28"/>
        </w:rPr>
        <w:t>- закрепление в админист</w:t>
      </w:r>
      <w:r w:rsidRPr="00C62D0D">
        <w:rPr>
          <w:rFonts w:ascii="PT Astra Serif" w:hAnsi="PT Astra Serif"/>
          <w:sz w:val="28"/>
        </w:rPr>
        <w:t>р</w:t>
      </w:r>
      <w:r w:rsidRPr="00C62D0D">
        <w:rPr>
          <w:rFonts w:ascii="PT Astra Serif" w:hAnsi="PT Astra Serif"/>
          <w:sz w:val="28"/>
        </w:rPr>
        <w:t>ативном рег</w:t>
      </w:r>
      <w:r w:rsidRPr="00C62D0D">
        <w:rPr>
          <w:rFonts w:ascii="PT Astra Serif" w:hAnsi="PT Astra Serif"/>
          <w:sz w:val="28"/>
        </w:rPr>
        <w:t>л</w:t>
      </w:r>
      <w:r w:rsidRPr="00C62D0D">
        <w:rPr>
          <w:rFonts w:ascii="PT Astra Serif" w:hAnsi="PT Astra Serif"/>
          <w:sz w:val="28"/>
        </w:rPr>
        <w:t xml:space="preserve">аменте </w:t>
      </w:r>
      <w:r w:rsidR="00C62D0D" w:rsidRPr="00C62D0D">
        <w:rPr>
          <w:rFonts w:ascii="PT Astra Serif" w:hAnsi="PT Astra Serif"/>
          <w:sz w:val="28"/>
        </w:rPr>
        <w:t>предоставления государственной услуги</w:t>
      </w:r>
      <w:r w:rsidR="00C62D0D" w:rsidRPr="00C62D0D">
        <w:rPr>
          <w:rFonts w:ascii="PT Astra Serif" w:hAnsi="PT Astra Serif"/>
          <w:sz w:val="28"/>
        </w:rPr>
        <w:t xml:space="preserve"> </w:t>
      </w:r>
      <w:r w:rsidRPr="00C62D0D">
        <w:rPr>
          <w:rFonts w:ascii="PT Astra Serif" w:hAnsi="PT Astra Serif"/>
          <w:sz w:val="28"/>
        </w:rPr>
        <w:t xml:space="preserve">положений, не предусмотренных региональным </w:t>
      </w:r>
      <w:r w:rsidRPr="00AB0706">
        <w:rPr>
          <w:rFonts w:ascii="PT Astra Serif" w:hAnsi="PT Astra Serif"/>
          <w:sz w:val="28"/>
        </w:rPr>
        <w:t>законодательством;</w:t>
      </w:r>
    </w:p>
    <w:p w:rsidR="00AB0706" w:rsidRDefault="00AB0706" w:rsidP="00AB0706">
      <w:pPr>
        <w:ind w:firstLine="709"/>
        <w:jc w:val="both"/>
        <w:rPr>
          <w:rFonts w:ascii="PT Astra Serif" w:hAnsi="PT Astra Serif"/>
          <w:sz w:val="28"/>
        </w:rPr>
      </w:pPr>
      <w:r w:rsidRPr="00C62D0D">
        <w:rPr>
          <w:rFonts w:ascii="PT Astra Serif" w:hAnsi="PT Astra Serif"/>
          <w:sz w:val="28"/>
        </w:rPr>
        <w:t xml:space="preserve">- </w:t>
      </w:r>
      <w:proofErr w:type="spellStart"/>
      <w:r>
        <w:rPr>
          <w:rFonts w:ascii="PT Astra Serif" w:hAnsi="PT Astra Serif"/>
          <w:sz w:val="28"/>
        </w:rPr>
        <w:t>не</w:t>
      </w:r>
      <w:r w:rsidRPr="00C62D0D">
        <w:rPr>
          <w:rFonts w:ascii="PT Astra Serif" w:hAnsi="PT Astra Serif"/>
          <w:sz w:val="28"/>
        </w:rPr>
        <w:t>закрепление</w:t>
      </w:r>
      <w:proofErr w:type="spellEnd"/>
      <w:r w:rsidRPr="00C62D0D">
        <w:rPr>
          <w:rFonts w:ascii="PT Astra Serif" w:hAnsi="PT Astra Serif"/>
          <w:sz w:val="28"/>
        </w:rPr>
        <w:t xml:space="preserve"> в административном регламенте предоставления государственной услуги положений, пред</w:t>
      </w:r>
      <w:r>
        <w:rPr>
          <w:rFonts w:ascii="PT Astra Serif" w:hAnsi="PT Astra Serif"/>
          <w:sz w:val="28"/>
        </w:rPr>
        <w:t>писа</w:t>
      </w:r>
      <w:r w:rsidRPr="00C62D0D">
        <w:rPr>
          <w:rFonts w:ascii="PT Astra Serif" w:hAnsi="PT Astra Serif"/>
          <w:sz w:val="28"/>
        </w:rPr>
        <w:t xml:space="preserve">нных региональным </w:t>
      </w:r>
      <w:r w:rsidRPr="000B11AD">
        <w:rPr>
          <w:rFonts w:ascii="PT Astra Serif" w:hAnsi="PT Astra Serif"/>
          <w:sz w:val="28"/>
        </w:rPr>
        <w:t>законодательством;</w:t>
      </w:r>
    </w:p>
    <w:p w:rsidR="0075248C" w:rsidRDefault="0075248C" w:rsidP="0075248C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установление дополнительного основания </w:t>
      </w:r>
      <w:r w:rsidRPr="00FF18AC">
        <w:rPr>
          <w:rFonts w:ascii="PT Astra Serif" w:hAnsi="PT Astra Serif"/>
          <w:sz w:val="28"/>
        </w:rPr>
        <w:t xml:space="preserve">ограничения для привлечения экспертов к осуществлению экспертизы в целях государственного контроля (надзора), муниципального контроля после </w:t>
      </w:r>
      <w:r w:rsidRPr="00D97B0B">
        <w:rPr>
          <w:rFonts w:ascii="PT Astra Serif" w:hAnsi="PT Astra Serif"/>
          <w:sz w:val="28"/>
        </w:rPr>
        <w:t>увольнения с государственной службы;</w:t>
      </w:r>
    </w:p>
    <w:p w:rsidR="0075248C" w:rsidRDefault="0075248C" w:rsidP="0075248C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установление оснований для переноса заседания комиссии при отсутствии положений о возможности переноса заседания комиссии </w:t>
      </w:r>
      <w:r>
        <w:rPr>
          <w:rFonts w:ascii="PT Astra Serif" w:hAnsi="PT Astra Serif"/>
          <w:sz w:val="28"/>
        </w:rPr>
        <w:br/>
      </w:r>
      <w:r w:rsidRPr="00254591">
        <w:rPr>
          <w:rFonts w:ascii="PT Astra Serif" w:hAnsi="PT Astra Serif"/>
          <w:sz w:val="28"/>
        </w:rPr>
        <w:t>в федеральном законодательстве.</w:t>
      </w:r>
    </w:p>
    <w:p w:rsidR="0075248C" w:rsidRDefault="0075248C" w:rsidP="0075248C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отсутствие указания о подготовке протокола заседания комиссии </w:t>
      </w:r>
      <w:r>
        <w:rPr>
          <w:rFonts w:ascii="PT Astra Serif" w:hAnsi="PT Astra Serif"/>
          <w:sz w:val="28"/>
        </w:rPr>
        <w:br/>
      </w:r>
      <w:r w:rsidRPr="00C810DB">
        <w:rPr>
          <w:rFonts w:ascii="PT Astra Serif" w:hAnsi="PT Astra Serif"/>
          <w:sz w:val="28"/>
        </w:rPr>
        <w:t>в электронной форме;</w:t>
      </w:r>
    </w:p>
    <w:p w:rsidR="0075248C" w:rsidRDefault="0075248C" w:rsidP="0075248C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неполное указание </w:t>
      </w:r>
      <w:r w:rsidRPr="00DB7EEA">
        <w:rPr>
          <w:rFonts w:ascii="PT Astra Serif" w:hAnsi="PT Astra Serif"/>
          <w:sz w:val="28"/>
        </w:rPr>
        <w:t>оснований для проведения заседания комиссии по соблюдению требований к служебному поведению и урегулированию конфликта интересов;</w:t>
      </w:r>
    </w:p>
    <w:p w:rsidR="000B11AD" w:rsidRDefault="000B11AD" w:rsidP="00662F6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- </w:t>
      </w:r>
      <w:proofErr w:type="spellStart"/>
      <w:r>
        <w:rPr>
          <w:rFonts w:ascii="PT Astra Serif" w:hAnsi="PT Astra Serif"/>
          <w:sz w:val="28"/>
        </w:rPr>
        <w:t>неустано</w:t>
      </w:r>
      <w:r>
        <w:rPr>
          <w:rFonts w:ascii="PT Astra Serif" w:hAnsi="PT Astra Serif"/>
          <w:sz w:val="28"/>
        </w:rPr>
        <w:t>вл</w:t>
      </w:r>
      <w:r>
        <w:rPr>
          <w:rFonts w:ascii="PT Astra Serif" w:hAnsi="PT Astra Serif"/>
          <w:sz w:val="28"/>
        </w:rPr>
        <w:t>ение</w:t>
      </w:r>
      <w:proofErr w:type="spellEnd"/>
      <w:r>
        <w:rPr>
          <w:rFonts w:ascii="PT Astra Serif" w:hAnsi="PT Astra Serif"/>
          <w:sz w:val="28"/>
        </w:rPr>
        <w:t xml:space="preserve"> балльной системы </w:t>
      </w:r>
      <w:r w:rsidRPr="00061389">
        <w:rPr>
          <w:rFonts w:ascii="PT Astra Serif" w:hAnsi="PT Astra Serif"/>
          <w:sz w:val="28"/>
          <w:szCs w:val="28"/>
        </w:rPr>
        <w:t>выполнени</w:t>
      </w:r>
      <w:r>
        <w:rPr>
          <w:rFonts w:ascii="PT Astra Serif" w:hAnsi="PT Astra Serif"/>
          <w:sz w:val="28"/>
          <w:szCs w:val="28"/>
        </w:rPr>
        <w:t>я</w:t>
      </w:r>
      <w:r w:rsidRPr="00061389">
        <w:rPr>
          <w:rFonts w:ascii="PT Astra Serif" w:hAnsi="PT Astra Serif"/>
          <w:sz w:val="28"/>
          <w:szCs w:val="28"/>
        </w:rPr>
        <w:t xml:space="preserve"> конкурсного задания</w:t>
      </w:r>
      <w:r w:rsidRPr="00061389">
        <w:rPr>
          <w:rFonts w:ascii="PT Astra Serif" w:hAnsi="PT Astra Serif"/>
          <w:sz w:val="28"/>
          <w:szCs w:val="28"/>
        </w:rPr>
        <w:t xml:space="preserve"> </w:t>
      </w:r>
      <w:r w:rsidRPr="00061389">
        <w:rPr>
          <w:rFonts w:ascii="PT Astra Serif" w:hAnsi="PT Astra Serif"/>
          <w:sz w:val="28"/>
          <w:szCs w:val="28"/>
        </w:rPr>
        <w:t>при оценке написания реферата или иной письменной работы, проведения групповой дискуссии, проекта документа</w:t>
      </w:r>
      <w:r>
        <w:rPr>
          <w:rFonts w:ascii="PT Astra Serif" w:hAnsi="PT Astra Serif"/>
          <w:sz w:val="28"/>
          <w:szCs w:val="28"/>
        </w:rPr>
        <w:t>, при оценке анкетирования.</w:t>
      </w:r>
    </w:p>
    <w:p w:rsidR="00566668" w:rsidRPr="0075248C" w:rsidRDefault="00566668" w:rsidP="00566668">
      <w:pPr>
        <w:ind w:firstLine="709"/>
        <w:jc w:val="both"/>
        <w:rPr>
          <w:rFonts w:ascii="PT Astra Serif" w:hAnsi="PT Astra Serif"/>
          <w:sz w:val="28"/>
        </w:rPr>
      </w:pPr>
      <w:r w:rsidRPr="0075248C">
        <w:rPr>
          <w:rFonts w:ascii="PT Astra Serif" w:hAnsi="PT Astra Serif"/>
          <w:sz w:val="28"/>
        </w:rPr>
        <w:t xml:space="preserve">Наиболее часто встречающимися </w:t>
      </w:r>
      <w:r w:rsidRPr="0075248C">
        <w:rPr>
          <w:rFonts w:ascii="PT Astra Serif" w:hAnsi="PT Astra Serif"/>
          <w:sz w:val="28"/>
        </w:rPr>
        <w:t xml:space="preserve">замечаниями </w:t>
      </w:r>
      <w:r w:rsidRPr="0075248C">
        <w:rPr>
          <w:rFonts w:ascii="PT Astra Serif" w:hAnsi="PT Astra Serif"/>
          <w:sz w:val="28"/>
        </w:rPr>
        <w:t>в части полноты правового регулирования и наличия внутренних противоречий</w:t>
      </w:r>
      <w:r w:rsidRPr="0075248C">
        <w:rPr>
          <w:rFonts w:ascii="PT Astra Serif" w:hAnsi="PT Astra Serif"/>
          <w:sz w:val="28"/>
        </w:rPr>
        <w:t xml:space="preserve"> </w:t>
      </w:r>
      <w:r w:rsidRPr="0075248C">
        <w:rPr>
          <w:rFonts w:ascii="PT Astra Serif" w:hAnsi="PT Astra Serif"/>
          <w:sz w:val="28"/>
        </w:rPr>
        <w:t>явились следующие:</w:t>
      </w:r>
    </w:p>
    <w:p w:rsidR="000B11AD" w:rsidRDefault="00566668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 w:rsidR="007F449A">
        <w:rPr>
          <w:rFonts w:ascii="PT Astra Serif" w:hAnsi="PT Astra Serif"/>
          <w:sz w:val="28"/>
        </w:rPr>
        <w:t>отсутствие описания админист</w:t>
      </w:r>
      <w:r w:rsidR="007F449A">
        <w:rPr>
          <w:rFonts w:ascii="PT Astra Serif" w:hAnsi="PT Astra Serif"/>
          <w:sz w:val="28"/>
        </w:rPr>
        <w:t>р</w:t>
      </w:r>
      <w:r w:rsidR="007F449A">
        <w:rPr>
          <w:rFonts w:ascii="PT Astra Serif" w:hAnsi="PT Astra Serif"/>
          <w:sz w:val="28"/>
        </w:rPr>
        <w:t>ативного действия, предусмотренного положениями административного регламента предоставления го</w:t>
      </w:r>
      <w:r w:rsidR="007F449A">
        <w:rPr>
          <w:rFonts w:ascii="PT Astra Serif" w:hAnsi="PT Astra Serif"/>
          <w:sz w:val="28"/>
        </w:rPr>
        <w:t>с</w:t>
      </w:r>
      <w:r w:rsidR="007F449A">
        <w:rPr>
          <w:rFonts w:ascii="PT Astra Serif" w:hAnsi="PT Astra Serif"/>
          <w:sz w:val="28"/>
        </w:rPr>
        <w:t>ударственной услуги;</w:t>
      </w:r>
    </w:p>
    <w:p w:rsidR="007F449A" w:rsidRDefault="001F01C0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отсутствие осно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>аний для отказа в предоставлении государственной услуги, соответствующих результату предоставления государственной услуги.</w:t>
      </w:r>
    </w:p>
    <w:p w:rsidR="00FD502C" w:rsidRDefault="00FD502C" w:rsidP="00FD502C">
      <w:pPr>
        <w:ind w:firstLine="709"/>
        <w:jc w:val="both"/>
        <w:rPr>
          <w:rFonts w:ascii="PT Astra Serif" w:hAnsi="PT Astra Serif"/>
          <w:sz w:val="28"/>
        </w:rPr>
      </w:pPr>
      <w:r w:rsidRPr="0075248C">
        <w:rPr>
          <w:rFonts w:ascii="PT Astra Serif" w:hAnsi="PT Astra Serif"/>
          <w:sz w:val="28"/>
        </w:rPr>
        <w:t xml:space="preserve">Наиболее часто встречающимися внутренними противоречиями явились </w:t>
      </w:r>
      <w:proofErr w:type="gramStart"/>
      <w:r w:rsidRPr="0075248C">
        <w:rPr>
          <w:rFonts w:ascii="PT Astra Serif" w:hAnsi="PT Astra Serif"/>
          <w:sz w:val="28"/>
        </w:rPr>
        <w:t>следующие</w:t>
      </w:r>
      <w:proofErr w:type="gramEnd"/>
      <w:r w:rsidRPr="0075248C">
        <w:rPr>
          <w:rFonts w:ascii="PT Astra Serif" w:hAnsi="PT Astra Serif"/>
          <w:sz w:val="28"/>
        </w:rPr>
        <w:t>:</w:t>
      </w:r>
    </w:p>
    <w:p w:rsidR="00153B44" w:rsidRDefault="00153B44" w:rsidP="00FD502C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 w:rsidR="00941020">
        <w:rPr>
          <w:rFonts w:ascii="PT Astra Serif" w:hAnsi="PT Astra Serif"/>
          <w:sz w:val="28"/>
        </w:rPr>
        <w:t xml:space="preserve">ссылка на положения нормативного правового акта, содержащие </w:t>
      </w:r>
      <w:r w:rsidR="00941020" w:rsidRPr="00941020">
        <w:rPr>
          <w:rFonts w:ascii="PT Astra Serif" w:hAnsi="PT Astra Serif"/>
          <w:sz w:val="28"/>
        </w:rPr>
        <w:t>вместо требуемых норм отсылку к федеральному законодательству</w:t>
      </w:r>
      <w:r w:rsidR="00230A9E" w:rsidRPr="00941020">
        <w:rPr>
          <w:rFonts w:ascii="PT Astra Serif" w:hAnsi="PT Astra Serif"/>
          <w:sz w:val="28"/>
        </w:rPr>
        <w:t>;</w:t>
      </w:r>
    </w:p>
    <w:p w:rsidR="00230A9E" w:rsidRDefault="00230A9E" w:rsidP="00FD502C">
      <w:pPr>
        <w:ind w:firstLine="709"/>
        <w:jc w:val="both"/>
        <w:rPr>
          <w:rFonts w:ascii="PT Astra Serif" w:hAnsi="PT Astra Serif"/>
          <w:sz w:val="28"/>
        </w:rPr>
      </w:pPr>
      <w:r w:rsidRPr="00230A9E">
        <w:rPr>
          <w:rFonts w:ascii="PT Astra Serif" w:hAnsi="PT Astra Serif"/>
          <w:sz w:val="28"/>
        </w:rPr>
        <w:lastRenderedPageBreak/>
        <w:t xml:space="preserve">- </w:t>
      </w:r>
      <w:r w:rsidR="00941020">
        <w:rPr>
          <w:rFonts w:ascii="PT Astra Serif" w:hAnsi="PT Astra Serif"/>
          <w:sz w:val="28"/>
        </w:rPr>
        <w:t xml:space="preserve">перечень административных процедур не совпадает </w:t>
      </w:r>
      <w:r w:rsidR="00941020">
        <w:rPr>
          <w:rFonts w:ascii="PT Astra Serif" w:hAnsi="PT Astra Serif"/>
          <w:sz w:val="28"/>
        </w:rPr>
        <w:br/>
      </w:r>
      <w:r w:rsidR="00941020" w:rsidRPr="00DC68E2">
        <w:rPr>
          <w:rFonts w:ascii="PT Astra Serif" w:hAnsi="PT Astra Serif"/>
          <w:sz w:val="28"/>
        </w:rPr>
        <w:t>с описываемыми административными процедурами</w:t>
      </w:r>
      <w:r w:rsidRPr="00DC68E2">
        <w:rPr>
          <w:rFonts w:ascii="PT Astra Serif" w:hAnsi="PT Astra Serif"/>
          <w:sz w:val="28"/>
        </w:rPr>
        <w:t>;</w:t>
      </w:r>
    </w:p>
    <w:p w:rsidR="00FD502C" w:rsidRDefault="00FD502C" w:rsidP="00FD502C">
      <w:pPr>
        <w:ind w:firstLine="709"/>
        <w:jc w:val="both"/>
        <w:rPr>
          <w:rFonts w:ascii="PT Astra Serif" w:hAnsi="PT Astra Serif"/>
          <w:sz w:val="28"/>
        </w:rPr>
      </w:pPr>
      <w:r w:rsidRPr="00DC68E2">
        <w:rPr>
          <w:rFonts w:ascii="PT Astra Serif" w:hAnsi="PT Astra Serif"/>
          <w:sz w:val="28"/>
        </w:rPr>
        <w:t xml:space="preserve">- </w:t>
      </w:r>
      <w:r w:rsidR="00DC68E2" w:rsidRPr="00DC68E2">
        <w:rPr>
          <w:rFonts w:ascii="PT Astra Serif" w:hAnsi="PT Astra Serif"/>
          <w:sz w:val="28"/>
        </w:rPr>
        <w:t>указание разных сроков для выполнения одного и того же действия</w:t>
      </w:r>
      <w:r w:rsidRPr="00DC68E2">
        <w:rPr>
          <w:rFonts w:ascii="PT Astra Serif" w:hAnsi="PT Astra Serif"/>
          <w:sz w:val="28"/>
        </w:rPr>
        <w:t>;</w:t>
      </w:r>
    </w:p>
    <w:p w:rsidR="00FD502C" w:rsidRDefault="00673AE2" w:rsidP="00FD502C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 w:rsidR="00DC68E2">
        <w:rPr>
          <w:rFonts w:ascii="PT Astra Serif" w:hAnsi="PT Astra Serif"/>
          <w:sz w:val="28"/>
        </w:rPr>
        <w:t xml:space="preserve">включение в подраздел нормативного правового акта положений, не относящихся к </w:t>
      </w:r>
      <w:proofErr w:type="gramStart"/>
      <w:r w:rsidR="00DC68E2">
        <w:rPr>
          <w:rFonts w:ascii="PT Astra Serif" w:hAnsi="PT Astra Serif"/>
          <w:sz w:val="28"/>
        </w:rPr>
        <w:t>правовому</w:t>
      </w:r>
      <w:proofErr w:type="gramEnd"/>
      <w:r w:rsidR="00DC68E2">
        <w:rPr>
          <w:rFonts w:ascii="PT Astra Serif" w:hAnsi="PT Astra Serif"/>
          <w:sz w:val="28"/>
        </w:rPr>
        <w:t xml:space="preserve"> регулирования данного подраздела.</w:t>
      </w:r>
    </w:p>
    <w:p w:rsidR="00662F6D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 w:rsidRPr="00DC68E2">
        <w:rPr>
          <w:rFonts w:ascii="PT Astra Serif" w:hAnsi="PT Astra Serif"/>
          <w:sz w:val="28"/>
        </w:rPr>
        <w:t>Среди нарушений правил юридической техники наиболее часто встречаются:</w:t>
      </w:r>
    </w:p>
    <w:p w:rsidR="00662F6D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неверное или неточное указание ссылок;</w:t>
      </w:r>
    </w:p>
    <w:p w:rsidR="00662F6D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нарушение нумерации;</w:t>
      </w:r>
    </w:p>
    <w:p w:rsidR="00662F6D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использование сокращений, не указанных в тексте нормативного правового акта;</w:t>
      </w:r>
    </w:p>
    <w:p w:rsidR="00662F6D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нарушения единства терминологии с федеральным законодательством;</w:t>
      </w:r>
    </w:p>
    <w:p w:rsidR="00662F6D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ссылки на нормативные правовые акты, утратившие силу;</w:t>
      </w:r>
    </w:p>
    <w:p w:rsidR="00662F6D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несоответствие с аутентичным текстом изменяемого нормативного правового акта.</w:t>
      </w:r>
    </w:p>
    <w:p w:rsidR="00662F6D" w:rsidRDefault="00662F6D" w:rsidP="00662F6D">
      <w:pPr>
        <w:ind w:firstLine="709"/>
        <w:jc w:val="both"/>
        <w:rPr>
          <w:rFonts w:ascii="PT Astra Serif" w:hAnsi="PT Astra Serif"/>
          <w:sz w:val="28"/>
        </w:rPr>
      </w:pPr>
      <w:r w:rsidRPr="00941020">
        <w:rPr>
          <w:rFonts w:ascii="PT Astra Serif" w:hAnsi="PT Astra Serif"/>
          <w:sz w:val="28"/>
        </w:rPr>
        <w:t>Также замечания имеются к официальному обозначению правовых</w:t>
      </w:r>
      <w:r>
        <w:rPr>
          <w:rFonts w:ascii="PT Astra Serif" w:hAnsi="PT Astra Serif"/>
          <w:sz w:val="28"/>
        </w:rPr>
        <w:t xml:space="preserve"> актов в тексте нормативного правового акта, чаще всего это отсутствие сведений об источнике официального опубликования либо указаний на изменения, внесенные в нормативный правовой акт.</w:t>
      </w:r>
    </w:p>
    <w:p w:rsidR="00024051" w:rsidRPr="00510DB1" w:rsidRDefault="00510DB1" w:rsidP="00024051">
      <w:pPr>
        <w:ind w:firstLine="709"/>
        <w:jc w:val="both"/>
        <w:rPr>
          <w:rFonts w:ascii="PT Astra Serif" w:hAnsi="PT Astra Serif"/>
          <w:sz w:val="28"/>
        </w:rPr>
      </w:pPr>
      <w:r w:rsidRPr="0075248C">
        <w:rPr>
          <w:rFonts w:ascii="PT Astra Serif" w:hAnsi="PT Astra Serif"/>
          <w:sz w:val="28"/>
        </w:rPr>
        <w:t xml:space="preserve">К отдельным нормативным правовым актам вынесено замечание </w:t>
      </w:r>
      <w:r w:rsidRPr="0075248C">
        <w:rPr>
          <w:rFonts w:ascii="PT Astra Serif" w:hAnsi="PT Astra Serif"/>
          <w:sz w:val="28"/>
        </w:rPr>
        <w:br/>
        <w:t>в части отсутствия официального опубликования.</w:t>
      </w:r>
      <w:bookmarkStart w:id="0" w:name="_GoBack"/>
      <w:bookmarkEnd w:id="0"/>
    </w:p>
    <w:sectPr w:rsidR="00024051" w:rsidRPr="00510DB1" w:rsidSect="000F499D">
      <w:headerReference w:type="default" r:id="rId9"/>
      <w:pgSz w:w="11906" w:h="16838"/>
      <w:pgMar w:top="1418" w:right="1418" w:bottom="170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07" w:rsidRDefault="00BA2607" w:rsidP="000F499D">
      <w:r>
        <w:separator/>
      </w:r>
    </w:p>
  </w:endnote>
  <w:endnote w:type="continuationSeparator" w:id="0">
    <w:p w:rsidR="00BA2607" w:rsidRDefault="00BA2607" w:rsidP="000F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07" w:rsidRDefault="00BA2607" w:rsidP="000F499D">
      <w:r>
        <w:separator/>
      </w:r>
    </w:p>
  </w:footnote>
  <w:footnote w:type="continuationSeparator" w:id="0">
    <w:p w:rsidR="00BA2607" w:rsidRDefault="00BA2607" w:rsidP="000F4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070357"/>
      <w:docPartObj>
        <w:docPartGallery w:val="Page Numbers (Top of Page)"/>
        <w:docPartUnique/>
      </w:docPartObj>
    </w:sdtPr>
    <w:sdtEndPr/>
    <w:sdtContent>
      <w:p w:rsidR="000F499D" w:rsidRDefault="000F499D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48C">
          <w:rPr>
            <w:noProof/>
          </w:rPr>
          <w:t>11</w:t>
        </w:r>
        <w:r>
          <w:fldChar w:fldCharType="end"/>
        </w:r>
      </w:p>
    </w:sdtContent>
  </w:sdt>
  <w:p w:rsidR="000F499D" w:rsidRDefault="000F499D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37A94"/>
    <w:multiLevelType w:val="multilevel"/>
    <w:tmpl w:val="BE0091D4"/>
    <w:lvl w:ilvl="0">
      <w:start w:val="1"/>
      <w:numFmt w:val="bullet"/>
      <w:pStyle w:val="1"/>
      <w:lvlText w:val=""/>
      <w:lvlJc w:val="left"/>
      <w:pPr>
        <w:tabs>
          <w:tab w:val="left" w:pos="709"/>
        </w:tabs>
        <w:ind w:left="709" w:hanging="284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06EB"/>
    <w:rsid w:val="00005964"/>
    <w:rsid w:val="00024051"/>
    <w:rsid w:val="00034FAE"/>
    <w:rsid w:val="0005398B"/>
    <w:rsid w:val="000623A0"/>
    <w:rsid w:val="0008492F"/>
    <w:rsid w:val="00086401"/>
    <w:rsid w:val="00087DDA"/>
    <w:rsid w:val="00097ADB"/>
    <w:rsid w:val="000B11AD"/>
    <w:rsid w:val="000C3091"/>
    <w:rsid w:val="000E111D"/>
    <w:rsid w:val="000E6C3D"/>
    <w:rsid w:val="000F0B54"/>
    <w:rsid w:val="000F499D"/>
    <w:rsid w:val="000F6C6A"/>
    <w:rsid w:val="000F7A4A"/>
    <w:rsid w:val="00120804"/>
    <w:rsid w:val="00122136"/>
    <w:rsid w:val="0012544E"/>
    <w:rsid w:val="0014669E"/>
    <w:rsid w:val="00153B44"/>
    <w:rsid w:val="00153E73"/>
    <w:rsid w:val="0015761C"/>
    <w:rsid w:val="00166596"/>
    <w:rsid w:val="001A118D"/>
    <w:rsid w:val="001B5E0F"/>
    <w:rsid w:val="001C3C7B"/>
    <w:rsid w:val="001C5A44"/>
    <w:rsid w:val="001E08BA"/>
    <w:rsid w:val="001F01C0"/>
    <w:rsid w:val="001F1B36"/>
    <w:rsid w:val="001F3DDE"/>
    <w:rsid w:val="002016C3"/>
    <w:rsid w:val="00210601"/>
    <w:rsid w:val="0022700B"/>
    <w:rsid w:val="00230A9E"/>
    <w:rsid w:val="002521CC"/>
    <w:rsid w:val="00254591"/>
    <w:rsid w:val="0026690A"/>
    <w:rsid w:val="002806A7"/>
    <w:rsid w:val="00280DAC"/>
    <w:rsid w:val="002842F4"/>
    <w:rsid w:val="002B57CD"/>
    <w:rsid w:val="002B6CAC"/>
    <w:rsid w:val="002C0C38"/>
    <w:rsid w:val="002C1429"/>
    <w:rsid w:val="002E57E4"/>
    <w:rsid w:val="0030178F"/>
    <w:rsid w:val="00305C97"/>
    <w:rsid w:val="00313E26"/>
    <w:rsid w:val="00324E7F"/>
    <w:rsid w:val="003602FE"/>
    <w:rsid w:val="003638C2"/>
    <w:rsid w:val="0038108F"/>
    <w:rsid w:val="0038198F"/>
    <w:rsid w:val="00383A5A"/>
    <w:rsid w:val="003906A3"/>
    <w:rsid w:val="003C1BD2"/>
    <w:rsid w:val="003C28E0"/>
    <w:rsid w:val="003C2A4C"/>
    <w:rsid w:val="003C529F"/>
    <w:rsid w:val="003D3F49"/>
    <w:rsid w:val="003D6BB7"/>
    <w:rsid w:val="003E44FB"/>
    <w:rsid w:val="003F1FD8"/>
    <w:rsid w:val="003F5042"/>
    <w:rsid w:val="003F56A1"/>
    <w:rsid w:val="004037FC"/>
    <w:rsid w:val="00420DCA"/>
    <w:rsid w:val="0042384C"/>
    <w:rsid w:val="00433087"/>
    <w:rsid w:val="004347EE"/>
    <w:rsid w:val="00460CE0"/>
    <w:rsid w:val="004D0F4C"/>
    <w:rsid w:val="00506827"/>
    <w:rsid w:val="00510AB2"/>
    <w:rsid w:val="00510DB1"/>
    <w:rsid w:val="005179FC"/>
    <w:rsid w:val="00520366"/>
    <w:rsid w:val="00531E88"/>
    <w:rsid w:val="005335AC"/>
    <w:rsid w:val="00541FCB"/>
    <w:rsid w:val="00552F34"/>
    <w:rsid w:val="00555D4D"/>
    <w:rsid w:val="00563130"/>
    <w:rsid w:val="00566668"/>
    <w:rsid w:val="00567D95"/>
    <w:rsid w:val="00573F75"/>
    <w:rsid w:val="00580CB3"/>
    <w:rsid w:val="00580FBD"/>
    <w:rsid w:val="005876E1"/>
    <w:rsid w:val="00591840"/>
    <w:rsid w:val="0059439B"/>
    <w:rsid w:val="005A7BE8"/>
    <w:rsid w:val="005B5F1C"/>
    <w:rsid w:val="005F5735"/>
    <w:rsid w:val="006050A4"/>
    <w:rsid w:val="00616E83"/>
    <w:rsid w:val="0061736B"/>
    <w:rsid w:val="006206EB"/>
    <w:rsid w:val="00627215"/>
    <w:rsid w:val="00640AE0"/>
    <w:rsid w:val="00660E77"/>
    <w:rsid w:val="00662F6D"/>
    <w:rsid w:val="006721F8"/>
    <w:rsid w:val="0067289F"/>
    <w:rsid w:val="00673AE2"/>
    <w:rsid w:val="00691E66"/>
    <w:rsid w:val="00694AF9"/>
    <w:rsid w:val="006B4084"/>
    <w:rsid w:val="006C5653"/>
    <w:rsid w:val="006C5C23"/>
    <w:rsid w:val="006C71F1"/>
    <w:rsid w:val="006D0363"/>
    <w:rsid w:val="006E514C"/>
    <w:rsid w:val="006E716A"/>
    <w:rsid w:val="006E7C29"/>
    <w:rsid w:val="00714B7B"/>
    <w:rsid w:val="00720DB9"/>
    <w:rsid w:val="0074161E"/>
    <w:rsid w:val="0075248C"/>
    <w:rsid w:val="007630FC"/>
    <w:rsid w:val="00771485"/>
    <w:rsid w:val="00790524"/>
    <w:rsid w:val="007C713C"/>
    <w:rsid w:val="007D1404"/>
    <w:rsid w:val="007D25F5"/>
    <w:rsid w:val="007E0543"/>
    <w:rsid w:val="007F0319"/>
    <w:rsid w:val="007F2EB3"/>
    <w:rsid w:val="007F3C87"/>
    <w:rsid w:val="007F449A"/>
    <w:rsid w:val="00802CC8"/>
    <w:rsid w:val="0081203C"/>
    <w:rsid w:val="0082038D"/>
    <w:rsid w:val="00825643"/>
    <w:rsid w:val="00837AA6"/>
    <w:rsid w:val="00845913"/>
    <w:rsid w:val="00845D58"/>
    <w:rsid w:val="008578CE"/>
    <w:rsid w:val="00862495"/>
    <w:rsid w:val="00866F70"/>
    <w:rsid w:val="00873492"/>
    <w:rsid w:val="008738FD"/>
    <w:rsid w:val="00892BA5"/>
    <w:rsid w:val="00894EEC"/>
    <w:rsid w:val="008A3D3B"/>
    <w:rsid w:val="008A62F5"/>
    <w:rsid w:val="008C226F"/>
    <w:rsid w:val="008C3BFE"/>
    <w:rsid w:val="008C63AA"/>
    <w:rsid w:val="008E0791"/>
    <w:rsid w:val="008E297D"/>
    <w:rsid w:val="008E7B22"/>
    <w:rsid w:val="008F6FF6"/>
    <w:rsid w:val="008F77B2"/>
    <w:rsid w:val="00900A08"/>
    <w:rsid w:val="0093347D"/>
    <w:rsid w:val="00937F8B"/>
    <w:rsid w:val="00941020"/>
    <w:rsid w:val="009451B2"/>
    <w:rsid w:val="00962244"/>
    <w:rsid w:val="00981D4C"/>
    <w:rsid w:val="009926C3"/>
    <w:rsid w:val="00993423"/>
    <w:rsid w:val="009B4E1D"/>
    <w:rsid w:val="009D17CD"/>
    <w:rsid w:val="009E28FB"/>
    <w:rsid w:val="009F33EA"/>
    <w:rsid w:val="009F34F0"/>
    <w:rsid w:val="00A11B3C"/>
    <w:rsid w:val="00A335F1"/>
    <w:rsid w:val="00A409BF"/>
    <w:rsid w:val="00A600B2"/>
    <w:rsid w:val="00A65556"/>
    <w:rsid w:val="00A737D5"/>
    <w:rsid w:val="00A77AE4"/>
    <w:rsid w:val="00A94C73"/>
    <w:rsid w:val="00AB0706"/>
    <w:rsid w:val="00AC15C8"/>
    <w:rsid w:val="00AC1997"/>
    <w:rsid w:val="00AC3E35"/>
    <w:rsid w:val="00AE4BE0"/>
    <w:rsid w:val="00AF0688"/>
    <w:rsid w:val="00AF5E67"/>
    <w:rsid w:val="00B1112C"/>
    <w:rsid w:val="00B3028A"/>
    <w:rsid w:val="00B346E2"/>
    <w:rsid w:val="00B365E9"/>
    <w:rsid w:val="00B66715"/>
    <w:rsid w:val="00B80401"/>
    <w:rsid w:val="00B83D35"/>
    <w:rsid w:val="00BA1A77"/>
    <w:rsid w:val="00BA2607"/>
    <w:rsid w:val="00BC4EAE"/>
    <w:rsid w:val="00BC53DC"/>
    <w:rsid w:val="00BC6D84"/>
    <w:rsid w:val="00BD6A73"/>
    <w:rsid w:val="00BE50B5"/>
    <w:rsid w:val="00BF3788"/>
    <w:rsid w:val="00BF5F14"/>
    <w:rsid w:val="00C07B00"/>
    <w:rsid w:val="00C1184C"/>
    <w:rsid w:val="00C142DA"/>
    <w:rsid w:val="00C27208"/>
    <w:rsid w:val="00C45B1D"/>
    <w:rsid w:val="00C610D7"/>
    <w:rsid w:val="00C62984"/>
    <w:rsid w:val="00C62D0D"/>
    <w:rsid w:val="00C62EA9"/>
    <w:rsid w:val="00C7532F"/>
    <w:rsid w:val="00C810DB"/>
    <w:rsid w:val="00C81FA0"/>
    <w:rsid w:val="00C84A78"/>
    <w:rsid w:val="00C96779"/>
    <w:rsid w:val="00CA6A0D"/>
    <w:rsid w:val="00CB5BC3"/>
    <w:rsid w:val="00CB7A6B"/>
    <w:rsid w:val="00CC36E6"/>
    <w:rsid w:val="00CC46AB"/>
    <w:rsid w:val="00CC7954"/>
    <w:rsid w:val="00CF7A8F"/>
    <w:rsid w:val="00D0399E"/>
    <w:rsid w:val="00D144DE"/>
    <w:rsid w:val="00D237D3"/>
    <w:rsid w:val="00D25D57"/>
    <w:rsid w:val="00D312F5"/>
    <w:rsid w:val="00D31CA9"/>
    <w:rsid w:val="00D340C5"/>
    <w:rsid w:val="00D53814"/>
    <w:rsid w:val="00D634CC"/>
    <w:rsid w:val="00D8284A"/>
    <w:rsid w:val="00D9328F"/>
    <w:rsid w:val="00D97345"/>
    <w:rsid w:val="00D97B0B"/>
    <w:rsid w:val="00DA398D"/>
    <w:rsid w:val="00DB0108"/>
    <w:rsid w:val="00DB7EEA"/>
    <w:rsid w:val="00DC68E2"/>
    <w:rsid w:val="00DD52D1"/>
    <w:rsid w:val="00DE42CD"/>
    <w:rsid w:val="00DF2EA6"/>
    <w:rsid w:val="00E034A7"/>
    <w:rsid w:val="00E142B2"/>
    <w:rsid w:val="00E31D5F"/>
    <w:rsid w:val="00E3697B"/>
    <w:rsid w:val="00E43139"/>
    <w:rsid w:val="00E52621"/>
    <w:rsid w:val="00E6178E"/>
    <w:rsid w:val="00E92B4A"/>
    <w:rsid w:val="00EA51EB"/>
    <w:rsid w:val="00EB4DEC"/>
    <w:rsid w:val="00ED3861"/>
    <w:rsid w:val="00EE198D"/>
    <w:rsid w:val="00EE3509"/>
    <w:rsid w:val="00EF1141"/>
    <w:rsid w:val="00F07226"/>
    <w:rsid w:val="00F11036"/>
    <w:rsid w:val="00F11163"/>
    <w:rsid w:val="00F3176F"/>
    <w:rsid w:val="00F36586"/>
    <w:rsid w:val="00F42244"/>
    <w:rsid w:val="00F47175"/>
    <w:rsid w:val="00F574C0"/>
    <w:rsid w:val="00F850DA"/>
    <w:rsid w:val="00F853E2"/>
    <w:rsid w:val="00FB43D9"/>
    <w:rsid w:val="00FC2D06"/>
    <w:rsid w:val="00FD502C"/>
    <w:rsid w:val="00FE46A1"/>
    <w:rsid w:val="00FF0A0B"/>
    <w:rsid w:val="00FF18AC"/>
    <w:rsid w:val="00FF6985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next w:val="a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uiPriority w:val="1"/>
    <w:qFormat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">
    <w:name w:val="Знак1"/>
    <w:basedOn w:val="a"/>
    <w:link w:val="13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3">
    <w:name w:val="Знак1"/>
    <w:basedOn w:val="10"/>
    <w:link w:val="1"/>
    <w:rPr>
      <w:rFonts w:ascii="Verdana" w:hAnsi="Verdana"/>
      <w:sz w:val="20"/>
    </w:rPr>
  </w:style>
  <w:style w:type="paragraph" w:styleId="a5">
    <w:name w:val="Body Text Indent"/>
    <w:basedOn w:val="a"/>
    <w:link w:val="a6"/>
    <w:pPr>
      <w:ind w:firstLine="708"/>
      <w:jc w:val="both"/>
    </w:pPr>
  </w:style>
  <w:style w:type="character" w:customStyle="1" w:styleId="a6">
    <w:name w:val="Основной текст с отступом Знак"/>
    <w:basedOn w:val="10"/>
    <w:link w:val="a5"/>
    <w:rPr>
      <w:sz w:val="24"/>
    </w:rPr>
  </w:style>
  <w:style w:type="paragraph" w:customStyle="1" w:styleId="14">
    <w:name w:val="Основной шрифт абзаца1"/>
  </w:style>
  <w:style w:type="paragraph" w:styleId="a7">
    <w:name w:val="Normal (Web)"/>
    <w:basedOn w:val="a"/>
    <w:link w:val="a8"/>
    <w:uiPriority w:val="99"/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Liberation Serif" w:hAnsi="Liberation Serif"/>
      <w:sz w:val="24"/>
    </w:rPr>
  </w:style>
  <w:style w:type="character" w:customStyle="1" w:styleId="Default0">
    <w:name w:val="Default"/>
    <w:link w:val="Default"/>
    <w:rPr>
      <w:rFonts w:ascii="Liberation Serif" w:hAnsi="Liberation Serif"/>
      <w:color w:val="000000"/>
      <w:sz w:val="24"/>
    </w:rPr>
  </w:style>
  <w:style w:type="paragraph" w:customStyle="1" w:styleId="15">
    <w:name w:val="Гиперссылка1"/>
    <w:link w:val="16"/>
    <w:rPr>
      <w:rFonts w:ascii="Verdana" w:hAnsi="Verdana"/>
      <w:color w:val="0000FF"/>
    </w:rPr>
  </w:style>
  <w:style w:type="character" w:customStyle="1" w:styleId="16">
    <w:name w:val="Гиперссылка1"/>
    <w:link w:val="15"/>
    <w:rPr>
      <w:rFonts w:ascii="Verdana" w:hAnsi="Verdana"/>
      <w:strike w:val="0"/>
      <w:color w:val="0000FF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9">
    <w:name w:val="Цветовое выделение для Текст"/>
    <w:link w:val="aa"/>
    <w:rPr>
      <w:sz w:val="24"/>
    </w:rPr>
  </w:style>
  <w:style w:type="character" w:customStyle="1" w:styleId="aa">
    <w:name w:val="Цветовое выделение для Текст"/>
    <w:link w:val="a9"/>
    <w:rPr>
      <w:sz w:val="24"/>
    </w:rPr>
  </w:style>
  <w:style w:type="character" w:customStyle="1" w:styleId="12">
    <w:name w:val="Заголовок 1 Знак"/>
    <w:link w:val="11"/>
    <w:rPr>
      <w:rFonts w:ascii="XO Thames" w:hAnsi="XO Thames"/>
      <w:b/>
      <w:sz w:val="32"/>
    </w:rPr>
  </w:style>
  <w:style w:type="paragraph" w:customStyle="1" w:styleId="ab">
    <w:name w:val="Знак Знак"/>
    <w:link w:val="ac"/>
    <w:rPr>
      <w:sz w:val="24"/>
    </w:rPr>
  </w:style>
  <w:style w:type="character" w:customStyle="1" w:styleId="ac">
    <w:name w:val="Знак Знак"/>
    <w:link w:val="ab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Pr>
      <w:rFonts w:ascii="Tahoma" w:hAnsi="Tahoma"/>
      <w:sz w:val="16"/>
    </w:rPr>
  </w:style>
  <w:style w:type="paragraph" w:customStyle="1" w:styleId="23">
    <w:name w:val="Знак Знак2"/>
    <w:link w:val="24"/>
    <w:rPr>
      <w:sz w:val="24"/>
    </w:rPr>
  </w:style>
  <w:style w:type="character" w:customStyle="1" w:styleId="24">
    <w:name w:val="Знак Знак2"/>
    <w:link w:val="23"/>
    <w:rPr>
      <w:sz w:val="24"/>
    </w:rPr>
  </w:style>
  <w:style w:type="paragraph" w:customStyle="1" w:styleId="25">
    <w:name w:val="Гиперссылка2"/>
    <w:rPr>
      <w:rFonts w:ascii="Verdana" w:hAnsi="Verdana"/>
      <w:color w:val="0000FF"/>
    </w:rPr>
  </w:style>
  <w:style w:type="character" w:styleId="af">
    <w:name w:val="Hyperlink"/>
    <w:link w:val="33"/>
    <w:rPr>
      <w:rFonts w:ascii="Verdana" w:hAnsi="Verdana"/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Pr>
      <w:rFonts w:ascii="Calibri" w:hAnsi="Calibri"/>
      <w:sz w:val="22"/>
    </w:rPr>
  </w:style>
  <w:style w:type="paragraph" w:customStyle="1" w:styleId="af2">
    <w:name w:val="Знак"/>
    <w:basedOn w:val="a"/>
    <w:link w:val="af3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</w:rPr>
  </w:style>
  <w:style w:type="character" w:customStyle="1" w:styleId="af3">
    <w:name w:val="Знак"/>
    <w:basedOn w:val="10"/>
    <w:link w:val="af2"/>
    <w:rPr>
      <w:rFonts w:ascii="Verdana" w:hAnsi="Verdana"/>
      <w:sz w:val="20"/>
    </w:rPr>
  </w:style>
  <w:style w:type="paragraph" w:customStyle="1" w:styleId="26">
    <w:name w:val="Знак Знак2 Знак Знак"/>
    <w:basedOn w:val="a"/>
    <w:link w:val="27"/>
    <w:pPr>
      <w:spacing w:after="160" w:line="240" w:lineRule="exact"/>
    </w:pPr>
    <w:rPr>
      <w:rFonts w:ascii="Verdana" w:hAnsi="Verdana"/>
      <w:sz w:val="20"/>
    </w:rPr>
  </w:style>
  <w:style w:type="character" w:customStyle="1" w:styleId="27">
    <w:name w:val="Знак Знак2 Знак Знак"/>
    <w:basedOn w:val="10"/>
    <w:link w:val="26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8">
    <w:name w:val="Основной текст2"/>
    <w:basedOn w:val="a"/>
    <w:link w:val="29"/>
    <w:pPr>
      <w:spacing w:after="600" w:line="240" w:lineRule="atLeast"/>
    </w:pPr>
    <w:rPr>
      <w:rFonts w:ascii="Liberation Serif" w:hAnsi="Liberation Serif"/>
      <w:sz w:val="26"/>
    </w:rPr>
  </w:style>
  <w:style w:type="character" w:customStyle="1" w:styleId="29">
    <w:name w:val="Основной текст2"/>
    <w:basedOn w:val="10"/>
    <w:link w:val="28"/>
    <w:rPr>
      <w:rFonts w:ascii="Liberation Serif" w:hAnsi="Liberation Serif"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4">
    <w:name w:val="Знак Знак Знак"/>
    <w:basedOn w:val="a"/>
    <w:link w:val="af5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</w:rPr>
  </w:style>
  <w:style w:type="character" w:customStyle="1" w:styleId="af5">
    <w:name w:val="Знак Знак Знак"/>
    <w:basedOn w:val="10"/>
    <w:link w:val="af4"/>
    <w:rPr>
      <w:rFonts w:ascii="Verdana" w:hAnsi="Verdana"/>
      <w:sz w:val="20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Знак Знак Знак1 Знак"/>
    <w:basedOn w:val="a"/>
    <w:link w:val="1a"/>
    <w:pPr>
      <w:spacing w:after="160" w:line="240" w:lineRule="exact"/>
    </w:pPr>
    <w:rPr>
      <w:rFonts w:ascii="Verdana" w:hAnsi="Verdana"/>
      <w:sz w:val="20"/>
    </w:rPr>
  </w:style>
  <w:style w:type="character" w:customStyle="1" w:styleId="1a">
    <w:name w:val="Знак Знак Знак1 Знак"/>
    <w:basedOn w:val="10"/>
    <w:link w:val="19"/>
    <w:rPr>
      <w:rFonts w:ascii="Verdana" w:hAnsi="Verdana"/>
      <w:sz w:val="20"/>
    </w:rPr>
  </w:style>
  <w:style w:type="paragraph" w:customStyle="1" w:styleId="33">
    <w:name w:val="Гиперссылка3"/>
    <w:link w:val="af"/>
    <w:rPr>
      <w:rFonts w:ascii="Verdana" w:hAnsi="Verdana"/>
      <w:color w:val="0000FF"/>
      <w:u w:val="single"/>
    </w:rPr>
  </w:style>
  <w:style w:type="paragraph" w:styleId="afa">
    <w:name w:val="header"/>
    <w:basedOn w:val="a"/>
    <w:link w:val="afb"/>
    <w:uiPriority w:val="99"/>
    <w:unhideWhenUsed/>
    <w:rsid w:val="000F499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0F499D"/>
    <w:rPr>
      <w:sz w:val="24"/>
    </w:rPr>
  </w:style>
  <w:style w:type="paragraph" w:styleId="afc">
    <w:name w:val="footer"/>
    <w:basedOn w:val="a"/>
    <w:link w:val="afd"/>
    <w:uiPriority w:val="99"/>
    <w:unhideWhenUsed/>
    <w:rsid w:val="000F499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0F499D"/>
    <w:rPr>
      <w:sz w:val="24"/>
    </w:rPr>
  </w:style>
  <w:style w:type="paragraph" w:customStyle="1" w:styleId="1b">
    <w:name w:val="Знак Знак Знак1 Знак"/>
    <w:basedOn w:val="a"/>
    <w:rsid w:val="00616E83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1c">
    <w:name w:val="Знак Знак Знак1 Знак"/>
    <w:basedOn w:val="a"/>
    <w:rsid w:val="008578CE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character" w:styleId="afe">
    <w:name w:val="Emphasis"/>
    <w:basedOn w:val="a0"/>
    <w:uiPriority w:val="20"/>
    <w:qFormat/>
    <w:rsid w:val="006C71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next w:val="a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uiPriority w:val="1"/>
    <w:qFormat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">
    <w:name w:val="Знак1"/>
    <w:basedOn w:val="a"/>
    <w:link w:val="13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3">
    <w:name w:val="Знак1"/>
    <w:basedOn w:val="10"/>
    <w:link w:val="1"/>
    <w:rPr>
      <w:rFonts w:ascii="Verdana" w:hAnsi="Verdana"/>
      <w:sz w:val="20"/>
    </w:rPr>
  </w:style>
  <w:style w:type="paragraph" w:styleId="a5">
    <w:name w:val="Body Text Indent"/>
    <w:basedOn w:val="a"/>
    <w:link w:val="a6"/>
    <w:pPr>
      <w:ind w:firstLine="708"/>
      <w:jc w:val="both"/>
    </w:pPr>
  </w:style>
  <w:style w:type="character" w:customStyle="1" w:styleId="a6">
    <w:name w:val="Основной текст с отступом Знак"/>
    <w:basedOn w:val="10"/>
    <w:link w:val="a5"/>
    <w:rPr>
      <w:sz w:val="24"/>
    </w:rPr>
  </w:style>
  <w:style w:type="paragraph" w:customStyle="1" w:styleId="14">
    <w:name w:val="Основной шрифт абзаца1"/>
  </w:style>
  <w:style w:type="paragraph" w:styleId="a7">
    <w:name w:val="Normal (Web)"/>
    <w:basedOn w:val="a"/>
    <w:link w:val="a8"/>
    <w:uiPriority w:val="99"/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Liberation Serif" w:hAnsi="Liberation Serif"/>
      <w:sz w:val="24"/>
    </w:rPr>
  </w:style>
  <w:style w:type="character" w:customStyle="1" w:styleId="Default0">
    <w:name w:val="Default"/>
    <w:link w:val="Default"/>
    <w:rPr>
      <w:rFonts w:ascii="Liberation Serif" w:hAnsi="Liberation Serif"/>
      <w:color w:val="000000"/>
      <w:sz w:val="24"/>
    </w:rPr>
  </w:style>
  <w:style w:type="paragraph" w:customStyle="1" w:styleId="15">
    <w:name w:val="Гиперссылка1"/>
    <w:link w:val="16"/>
    <w:rPr>
      <w:rFonts w:ascii="Verdana" w:hAnsi="Verdana"/>
      <w:color w:val="0000FF"/>
    </w:rPr>
  </w:style>
  <w:style w:type="character" w:customStyle="1" w:styleId="16">
    <w:name w:val="Гиперссылка1"/>
    <w:link w:val="15"/>
    <w:rPr>
      <w:rFonts w:ascii="Verdana" w:hAnsi="Verdana"/>
      <w:strike w:val="0"/>
      <w:color w:val="0000FF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9">
    <w:name w:val="Цветовое выделение для Текст"/>
    <w:link w:val="aa"/>
    <w:rPr>
      <w:sz w:val="24"/>
    </w:rPr>
  </w:style>
  <w:style w:type="character" w:customStyle="1" w:styleId="aa">
    <w:name w:val="Цветовое выделение для Текст"/>
    <w:link w:val="a9"/>
    <w:rPr>
      <w:sz w:val="24"/>
    </w:rPr>
  </w:style>
  <w:style w:type="character" w:customStyle="1" w:styleId="12">
    <w:name w:val="Заголовок 1 Знак"/>
    <w:link w:val="11"/>
    <w:rPr>
      <w:rFonts w:ascii="XO Thames" w:hAnsi="XO Thames"/>
      <w:b/>
      <w:sz w:val="32"/>
    </w:rPr>
  </w:style>
  <w:style w:type="paragraph" w:customStyle="1" w:styleId="ab">
    <w:name w:val="Знак Знак"/>
    <w:link w:val="ac"/>
    <w:rPr>
      <w:sz w:val="24"/>
    </w:rPr>
  </w:style>
  <w:style w:type="character" w:customStyle="1" w:styleId="ac">
    <w:name w:val="Знак Знак"/>
    <w:link w:val="ab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Pr>
      <w:rFonts w:ascii="Tahoma" w:hAnsi="Tahoma"/>
      <w:sz w:val="16"/>
    </w:rPr>
  </w:style>
  <w:style w:type="paragraph" w:customStyle="1" w:styleId="23">
    <w:name w:val="Знак Знак2"/>
    <w:link w:val="24"/>
    <w:rPr>
      <w:sz w:val="24"/>
    </w:rPr>
  </w:style>
  <w:style w:type="character" w:customStyle="1" w:styleId="24">
    <w:name w:val="Знак Знак2"/>
    <w:link w:val="23"/>
    <w:rPr>
      <w:sz w:val="24"/>
    </w:rPr>
  </w:style>
  <w:style w:type="paragraph" w:customStyle="1" w:styleId="25">
    <w:name w:val="Гиперссылка2"/>
    <w:rPr>
      <w:rFonts w:ascii="Verdana" w:hAnsi="Verdana"/>
      <w:color w:val="0000FF"/>
    </w:rPr>
  </w:style>
  <w:style w:type="character" w:styleId="af">
    <w:name w:val="Hyperlink"/>
    <w:link w:val="33"/>
    <w:rPr>
      <w:rFonts w:ascii="Verdana" w:hAnsi="Verdana"/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Pr>
      <w:rFonts w:ascii="Calibri" w:hAnsi="Calibri"/>
      <w:sz w:val="22"/>
    </w:rPr>
  </w:style>
  <w:style w:type="paragraph" w:customStyle="1" w:styleId="af2">
    <w:name w:val="Знак"/>
    <w:basedOn w:val="a"/>
    <w:link w:val="af3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</w:rPr>
  </w:style>
  <w:style w:type="character" w:customStyle="1" w:styleId="af3">
    <w:name w:val="Знак"/>
    <w:basedOn w:val="10"/>
    <w:link w:val="af2"/>
    <w:rPr>
      <w:rFonts w:ascii="Verdana" w:hAnsi="Verdana"/>
      <w:sz w:val="20"/>
    </w:rPr>
  </w:style>
  <w:style w:type="paragraph" w:customStyle="1" w:styleId="26">
    <w:name w:val="Знак Знак2 Знак Знак"/>
    <w:basedOn w:val="a"/>
    <w:link w:val="27"/>
    <w:pPr>
      <w:spacing w:after="160" w:line="240" w:lineRule="exact"/>
    </w:pPr>
    <w:rPr>
      <w:rFonts w:ascii="Verdana" w:hAnsi="Verdana"/>
      <w:sz w:val="20"/>
    </w:rPr>
  </w:style>
  <w:style w:type="character" w:customStyle="1" w:styleId="27">
    <w:name w:val="Знак Знак2 Знак Знак"/>
    <w:basedOn w:val="10"/>
    <w:link w:val="26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8">
    <w:name w:val="Основной текст2"/>
    <w:basedOn w:val="a"/>
    <w:link w:val="29"/>
    <w:pPr>
      <w:spacing w:after="600" w:line="240" w:lineRule="atLeast"/>
    </w:pPr>
    <w:rPr>
      <w:rFonts w:ascii="Liberation Serif" w:hAnsi="Liberation Serif"/>
      <w:sz w:val="26"/>
    </w:rPr>
  </w:style>
  <w:style w:type="character" w:customStyle="1" w:styleId="29">
    <w:name w:val="Основной текст2"/>
    <w:basedOn w:val="10"/>
    <w:link w:val="28"/>
    <w:rPr>
      <w:rFonts w:ascii="Liberation Serif" w:hAnsi="Liberation Serif"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4">
    <w:name w:val="Знак Знак Знак"/>
    <w:basedOn w:val="a"/>
    <w:link w:val="af5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</w:rPr>
  </w:style>
  <w:style w:type="character" w:customStyle="1" w:styleId="af5">
    <w:name w:val="Знак Знак Знак"/>
    <w:basedOn w:val="10"/>
    <w:link w:val="af4"/>
    <w:rPr>
      <w:rFonts w:ascii="Verdana" w:hAnsi="Verdana"/>
      <w:sz w:val="20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Знак Знак Знак1 Знак"/>
    <w:basedOn w:val="a"/>
    <w:link w:val="1a"/>
    <w:pPr>
      <w:spacing w:after="160" w:line="240" w:lineRule="exact"/>
    </w:pPr>
    <w:rPr>
      <w:rFonts w:ascii="Verdana" w:hAnsi="Verdana"/>
      <w:sz w:val="20"/>
    </w:rPr>
  </w:style>
  <w:style w:type="character" w:customStyle="1" w:styleId="1a">
    <w:name w:val="Знак Знак Знак1 Знак"/>
    <w:basedOn w:val="10"/>
    <w:link w:val="19"/>
    <w:rPr>
      <w:rFonts w:ascii="Verdana" w:hAnsi="Verdana"/>
      <w:sz w:val="20"/>
    </w:rPr>
  </w:style>
  <w:style w:type="paragraph" w:customStyle="1" w:styleId="33">
    <w:name w:val="Гиперссылка3"/>
    <w:link w:val="af"/>
    <w:rPr>
      <w:rFonts w:ascii="Verdana" w:hAnsi="Verdana"/>
      <w:color w:val="0000FF"/>
      <w:u w:val="single"/>
    </w:rPr>
  </w:style>
  <w:style w:type="paragraph" w:styleId="afa">
    <w:name w:val="header"/>
    <w:basedOn w:val="a"/>
    <w:link w:val="afb"/>
    <w:uiPriority w:val="99"/>
    <w:unhideWhenUsed/>
    <w:rsid w:val="000F499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0F499D"/>
    <w:rPr>
      <w:sz w:val="24"/>
    </w:rPr>
  </w:style>
  <w:style w:type="paragraph" w:styleId="afc">
    <w:name w:val="footer"/>
    <w:basedOn w:val="a"/>
    <w:link w:val="afd"/>
    <w:uiPriority w:val="99"/>
    <w:unhideWhenUsed/>
    <w:rsid w:val="000F499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0F499D"/>
    <w:rPr>
      <w:sz w:val="24"/>
    </w:rPr>
  </w:style>
  <w:style w:type="paragraph" w:customStyle="1" w:styleId="1b">
    <w:name w:val="Знак Знак Знак1 Знак"/>
    <w:basedOn w:val="a"/>
    <w:rsid w:val="00616E83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1c">
    <w:name w:val="Знак Знак Знак1 Знак"/>
    <w:basedOn w:val="a"/>
    <w:rsid w:val="008578CE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character" w:styleId="afe">
    <w:name w:val="Emphasis"/>
    <w:basedOn w:val="a0"/>
    <w:uiPriority w:val="20"/>
    <w:qFormat/>
    <w:rsid w:val="006C71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CE56-646B-4FC7-BB7B-A04F4433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3735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Сбоева Алена Игоревна</dc:creator>
  <cp:lastModifiedBy>Сбоева Алена Игоревна</cp:lastModifiedBy>
  <cp:revision>43</cp:revision>
  <dcterms:created xsi:type="dcterms:W3CDTF">2025-12-26T10:15:00Z</dcterms:created>
  <dcterms:modified xsi:type="dcterms:W3CDTF">2025-12-29T06:02:00Z</dcterms:modified>
</cp:coreProperties>
</file>