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0"/>
        <w:spacing w:after="0"/>
        <w:ind w:firstLine="72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Информация о</w:t>
      </w:r>
      <w:r>
        <w:rPr>
          <w:rFonts w:ascii="PT Astra Serif" w:hAnsi="PT Astra Serif"/>
          <w:b w:val="1"/>
          <w:sz w:val="26"/>
        </w:rPr>
        <w:t>б</w:t>
      </w:r>
      <w:r>
        <w:rPr>
          <w:rFonts w:ascii="PT Astra Serif" w:hAnsi="PT Astra Serif"/>
          <w:b w:val="1"/>
          <w:sz w:val="26"/>
        </w:rPr>
        <w:t xml:space="preserve"> оказани</w:t>
      </w:r>
      <w:r>
        <w:rPr>
          <w:rFonts w:ascii="PT Astra Serif" w:hAnsi="PT Astra Serif"/>
          <w:b w:val="1"/>
          <w:sz w:val="26"/>
        </w:rPr>
        <w:t>и</w:t>
      </w:r>
      <w:r>
        <w:rPr>
          <w:rFonts w:ascii="PT Astra Serif" w:hAnsi="PT Astra Serif"/>
          <w:b w:val="1"/>
          <w:sz w:val="26"/>
        </w:rPr>
        <w:t xml:space="preserve"> гражданам</w:t>
      </w:r>
    </w:p>
    <w:p w14:paraId="04000000">
      <w:pPr>
        <w:pStyle w:val="Style_2"/>
        <w:widowControl w:val="0"/>
        <w:spacing w:after="0"/>
        <w:ind w:firstLine="72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содействия </w:t>
      </w:r>
      <w:r>
        <w:rPr>
          <w:rFonts w:ascii="PT Astra Serif" w:hAnsi="PT Astra Serif"/>
          <w:b w:val="1"/>
          <w:sz w:val="26"/>
        </w:rPr>
        <w:t>в</w:t>
      </w:r>
      <w:r>
        <w:rPr>
          <w:rFonts w:ascii="PT Astra Serif" w:hAnsi="PT Astra Serif"/>
          <w:b w:val="1"/>
          <w:sz w:val="26"/>
        </w:rPr>
        <w:t xml:space="preserve"> истребовани</w:t>
      </w:r>
      <w:r>
        <w:rPr>
          <w:rFonts w:ascii="PT Astra Serif" w:hAnsi="PT Astra Serif"/>
          <w:b w:val="1"/>
          <w:sz w:val="26"/>
        </w:rPr>
        <w:t>и</w:t>
      </w:r>
      <w:r>
        <w:rPr>
          <w:rFonts w:ascii="PT Astra Serif" w:hAnsi="PT Astra Serif"/>
          <w:b w:val="1"/>
          <w:sz w:val="26"/>
        </w:rPr>
        <w:t xml:space="preserve"> личных документов </w:t>
      </w:r>
    </w:p>
    <w:p w14:paraId="05000000">
      <w:pPr>
        <w:pStyle w:val="Style_2"/>
        <w:widowControl w:val="0"/>
        <w:spacing w:after="0"/>
        <w:ind w:firstLine="720" w:left="0"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>с территории иностранных государств в 2025 году</w:t>
      </w:r>
    </w:p>
    <w:p w14:paraId="06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</w:p>
    <w:p w14:paraId="07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</w:p>
    <w:p w14:paraId="08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 01.01.2025 вступил в силу совместный приказ МИД России и Минюста России № 26686/377 от 20.12.2024 «Об утверждении формы заявления</w:t>
      </w:r>
      <w:r>
        <w:br/>
      </w:r>
      <w:r>
        <w:rPr>
          <w:rFonts w:ascii="PT Astra Serif" w:hAnsi="PT Astra Serif"/>
          <w:sz w:val="26"/>
        </w:rPr>
        <w:t xml:space="preserve">об истребовании личного документа из Российской Федерации, формы заявления об истребовании личного документа с территории иностранного государства, порядка подачи таких заявлений, перечня оснований для отказа в приеме таких заявлений,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документа» </w:t>
      </w:r>
      <w:r>
        <w:rPr>
          <w:rFonts w:ascii="PT Astra Serif" w:hAnsi="PT Astra Serif"/>
          <w:sz w:val="26"/>
        </w:rPr>
        <w:t>(далее – Приказ № 26686/377).</w:t>
      </w:r>
    </w:p>
    <w:p w14:paraId="09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 этом совместный приказ МИД России и Минюста России № 10489/124 от 29.06.2012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 утратил силу с 01.01.2025. В связи с этим, с начала 2025 года </w:t>
      </w:r>
      <w:r>
        <w:rPr>
          <w:rFonts w:ascii="PT Astra Serif" w:hAnsi="PT Astra Serif"/>
          <w:sz w:val="26"/>
        </w:rPr>
        <w:t xml:space="preserve">истребование документов более не является государственной услугой, </w:t>
      </w:r>
      <w:r>
        <w:rPr>
          <w:rFonts w:ascii="PT Astra Serif" w:hAnsi="PT Astra Serif"/>
          <w:sz w:val="26"/>
        </w:rPr>
        <w:t xml:space="preserve">но государственные органы продолжают оказывать гражданам содействие </w:t>
      </w:r>
      <w:r>
        <w:rPr>
          <w:rFonts w:ascii="PT Astra Serif" w:hAnsi="PT Astra Serif"/>
          <w:sz w:val="26"/>
        </w:rPr>
        <w:t xml:space="preserve">в истребовании необходимых личных документов </w:t>
      </w:r>
      <w:r>
        <w:rPr>
          <w:rFonts w:ascii="PT Astra Serif" w:hAnsi="PT Astra Serif"/>
          <w:sz w:val="26"/>
        </w:rPr>
        <w:t>из компетентных органов иностранных государств.</w:t>
      </w:r>
    </w:p>
    <w:p w14:paraId="0A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Согласно Приказу № 26686/377 с</w:t>
      </w:r>
      <w:r>
        <w:rPr>
          <w:rFonts w:ascii="PT Astra Serif" w:hAnsi="PT Astra Serif"/>
          <w:sz w:val="26"/>
        </w:rPr>
        <w:t xml:space="preserve">одействие </w:t>
      </w:r>
      <w:r>
        <w:rPr>
          <w:rFonts w:ascii="PT Astra Serif" w:hAnsi="PT Astra Serif"/>
          <w:sz w:val="26"/>
        </w:rPr>
        <w:t xml:space="preserve">гражданам </w:t>
      </w:r>
      <w:r>
        <w:rPr>
          <w:rFonts w:ascii="PT Astra Serif" w:hAnsi="PT Astra Serif"/>
          <w:sz w:val="26"/>
        </w:rPr>
        <w:t>в истребовании личных документов с территории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иностранного государства оказывается:</w:t>
      </w:r>
    </w:p>
    <w:p w14:paraId="0B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а) Министерством иностранных дел Российской Федерации, территориальными органами – представительствами МИД России на территории Российской Федерации – в случаях, если законодательство иностранного государства, с территории которого истребуется личный документ, предусматривает возможность истребования такого личного документа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по дипломатическим каналам;</w:t>
      </w:r>
    </w:p>
    <w:p w14:paraId="0C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б) Минюстом России, Главными управлениями (Управлениями), органами ЗАГС – в случаях, предусмотренных международным договором с иностранным государством, с территории которого истребуется личный документ.</w:t>
      </w:r>
    </w:p>
    <w:p w14:paraId="0D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Приказом № 26686/377 утвержден порядок подачи заявлений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об истребовании личных документов с территории иностранных государств (далее - Порядок).</w:t>
      </w:r>
    </w:p>
    <w:p w14:paraId="0E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соответствии с пунктом 5 Порядка при истребовании личных документов из Российской Федерации и с территории иностранного государства заявителями являются:</w:t>
      </w:r>
    </w:p>
    <w:p w14:paraId="0F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а) граждане Российской Федерации, иностранные граждане и лица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без гражданства, в отношении которых истребуются личные документы,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а также их законные представители;</w:t>
      </w:r>
    </w:p>
    <w:p w14:paraId="10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б) родственники умершего или другие заинтересованные лица в случае, если лицо, в отношении которого истребуется личный документ, умерло;</w:t>
      </w:r>
    </w:p>
    <w:p w14:paraId="11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в) иные лица в случае представления доверенности, удостоверенной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установленном законодательством Российской Федерации порядке, от лиц, указанных в подпунктах «а» и «б» пункта 5 Порядка.</w:t>
      </w:r>
    </w:p>
    <w:p w14:paraId="12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Для истребования личного документа с территории иностранного государства лицо, в отношении которого запрашивается документ (иное лицо,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случае представления доверенности), </w:t>
      </w:r>
      <w:r>
        <w:rPr>
          <w:rFonts w:ascii="PT Astra Serif" w:hAnsi="PT Astra Serif"/>
          <w:sz w:val="26"/>
        </w:rPr>
        <w:t xml:space="preserve">предоставляет в один из указанных выше уполномоченных органов заявление об истребовании личного документа </w:t>
      </w:r>
      <w:r>
        <w:br/>
      </w:r>
      <w:r>
        <w:rPr>
          <w:rFonts w:ascii="PT Astra Serif" w:hAnsi="PT Astra Serif"/>
          <w:sz w:val="26"/>
        </w:rPr>
        <w:t xml:space="preserve">с территории иностранного государства установленной формы (приложение № 2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к Приказу</w:t>
      </w:r>
      <w:r>
        <w:rPr>
          <w:rFonts w:ascii="PT Astra Serif" w:hAnsi="PT Astra Serif"/>
          <w:sz w:val="26"/>
        </w:rPr>
        <w:t xml:space="preserve"> № 26686/377) с указанием полного почтового адреса и номера контактного телефона</w:t>
      </w:r>
      <w:r>
        <w:rPr>
          <w:rFonts w:ascii="PT Astra Serif" w:hAnsi="PT Astra Serif"/>
          <w:sz w:val="26"/>
        </w:rPr>
        <w:t xml:space="preserve">,  копию паспорта или иного документа, удостоверяющего личность в соответствии с законодательством Российской Федерации, </w:t>
      </w:r>
      <w:r>
        <w:rPr>
          <w:rFonts w:ascii="PT Astra Serif" w:hAnsi="PT Astra Serif"/>
          <w:sz w:val="26"/>
        </w:rPr>
        <w:t>а также квитанци</w:t>
      </w:r>
      <w:r>
        <w:rPr>
          <w:rFonts w:ascii="PT Astra Serif" w:hAnsi="PT Astra Serif"/>
          <w:sz w:val="26"/>
        </w:rPr>
        <w:t>ю</w:t>
      </w:r>
      <w:r>
        <w:rPr>
          <w:rFonts w:ascii="PT Astra Serif" w:hAnsi="PT Astra Serif"/>
          <w:sz w:val="26"/>
        </w:rPr>
        <w:t xml:space="preserve"> (или ее копи</w:t>
      </w:r>
      <w:r>
        <w:rPr>
          <w:rFonts w:ascii="PT Astra Serif" w:hAnsi="PT Astra Serif"/>
          <w:sz w:val="26"/>
        </w:rPr>
        <w:t>ю</w:t>
      </w:r>
      <w:r>
        <w:rPr>
          <w:rFonts w:ascii="PT Astra Serif" w:hAnsi="PT Astra Serif"/>
          <w:sz w:val="26"/>
        </w:rPr>
        <w:t xml:space="preserve">) об уплате государственной пошлины </w:t>
      </w:r>
      <w:r>
        <w:rPr>
          <w:rFonts w:ascii="PT Astra Serif" w:hAnsi="PT Astra Serif"/>
          <w:sz w:val="26"/>
        </w:rPr>
        <w:t>(пункт 10 Порядка). Согласно п. 14 Порядка з</w:t>
      </w:r>
      <w:r>
        <w:rPr>
          <w:rFonts w:ascii="PT Astra Serif" w:hAnsi="PT Astra Serif"/>
          <w:sz w:val="26"/>
        </w:rPr>
        <w:t xml:space="preserve">аявитель вправе приобщить к заявлению иные документы, которые могут ускорить или облегчить поиск и истребование личного документа (копии паспорта, свидетельства о рождении или смерти, свидетельства о заключении или расторжении брака, трудовой книжки и т.д.) </w:t>
      </w:r>
    </w:p>
    <w:p w14:paraId="13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Международные договоры и Порядок не предусматривают возможность подачи заявления об истребовании личных документов в электронном виде. Заявление должно быть подписано собственноручной подписью заявителя. Поэтому подать заявление можно,</w:t>
      </w:r>
      <w:r>
        <w:rPr>
          <w:rFonts w:ascii="PT Astra Serif" w:hAnsi="PT Astra Serif"/>
          <w:sz w:val="26"/>
        </w:rPr>
        <w:t xml:space="preserve"> только обратившись в соответствующий уполномоченный орган </w:t>
      </w:r>
      <w:r>
        <w:rPr>
          <w:rFonts w:ascii="PT Astra Serif" w:hAnsi="PT Astra Serif"/>
          <w:sz w:val="26"/>
        </w:rPr>
        <w:t xml:space="preserve">лично или направив заявление почтовым отправлением. </w:t>
      </w:r>
    </w:p>
    <w:p w14:paraId="14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Согласно подпункту 52 пункта 1 статьи 333.33 Налогового кодекса Российской Федерации за истребование документов с территории иностранных государств уплачивается государственная пошлина – 350 рублей за каждый документ. </w:t>
      </w:r>
      <w:r>
        <w:rPr>
          <w:rFonts w:ascii="PT Astra Serif" w:hAnsi="PT Astra Serif"/>
          <w:sz w:val="26"/>
        </w:rPr>
        <w:t xml:space="preserve">Государственная пошлина уплачивается по реквизитам того органа,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который предоставляется заявление об истребовании личного документа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с территории иностранного государства. </w:t>
      </w:r>
      <w:r>
        <w:rPr>
          <w:rFonts w:ascii="PT Astra Serif" w:hAnsi="PT Astra Serif"/>
          <w:sz w:val="26"/>
        </w:rPr>
        <w:t xml:space="preserve">Информация о банковских реквизитах территориальных органов Минюста России для оплаты государственной пошлины размещена на официальных сайтах указанных органов </w:t>
      </w:r>
      <w:r>
        <w:br/>
      </w:r>
      <w:r>
        <w:rPr>
          <w:rFonts w:ascii="PT Astra Serif" w:hAnsi="PT Astra Serif"/>
          <w:sz w:val="26"/>
        </w:rPr>
        <w:t>в информационно-телекоммуникационной сети «Интернет».</w:t>
      </w:r>
    </w:p>
    <w:p w14:paraId="15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Министерство юстиции Российской Федерации и его территориальные органы оказывают содействие в препровождении заявлений иностранной стороне только при наличии между Российской Федерацией и запрашиваемым государством </w:t>
      </w:r>
      <w:r>
        <w:rPr>
          <w:rFonts w:ascii="PT Astra Serif" w:hAnsi="PT Astra Serif"/>
          <w:sz w:val="26"/>
        </w:rPr>
        <w:t>договора об оказании правовой помощи.</w:t>
      </w:r>
    </w:p>
    <w:p w14:paraId="16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Так, например, во взаимоотношениях Российской Федерации </w:t>
      </w:r>
      <w:r>
        <w:br/>
      </w:r>
      <w:r>
        <w:rPr>
          <w:rFonts w:ascii="PT Astra Serif" w:hAnsi="PT Astra Serif"/>
          <w:sz w:val="26"/>
        </w:rPr>
        <w:t xml:space="preserve">и Азербайджанской Республики, Республики Армения, Республики Беларусь, Республики Казахстан, Киргизской Республики, Республики Таджикистан, Республики Узбекистан действует Конвенция о правовой помощи и правовых отношениях </w:t>
      </w:r>
      <w:r>
        <w:rPr>
          <w:rFonts w:ascii="PT Astra Serif" w:hAnsi="PT Astra Serif"/>
          <w:sz w:val="26"/>
        </w:rPr>
        <w:t xml:space="preserve">по гражданским, семейным и уголовным делам </w:t>
      </w:r>
      <w:r>
        <w:rPr>
          <w:rFonts w:ascii="PT Astra Serif" w:hAnsi="PT Astra Serif"/>
          <w:sz w:val="26"/>
        </w:rPr>
        <w:t xml:space="preserve">(Кишинев, </w:t>
      </w:r>
      <w:r>
        <w:rPr>
          <w:rFonts w:ascii="PT Astra Serif" w:hAnsi="PT Astra Serif"/>
          <w:sz w:val="26"/>
        </w:rPr>
        <w:t>2002</w:t>
      </w:r>
      <w:r>
        <w:rPr>
          <w:rFonts w:ascii="PT Astra Serif" w:hAnsi="PT Astra Serif"/>
          <w:sz w:val="26"/>
        </w:rPr>
        <w:t>)</w:t>
      </w:r>
      <w:r>
        <w:rPr>
          <w:rFonts w:ascii="PT Astra Serif" w:hAnsi="PT Astra Serif"/>
          <w:sz w:val="26"/>
        </w:rPr>
        <w:t xml:space="preserve">. </w:t>
      </w:r>
      <w:r>
        <w:br/>
      </w:r>
      <w:r>
        <w:rPr>
          <w:rFonts w:ascii="PT Astra Serif" w:hAnsi="PT Astra Serif"/>
          <w:sz w:val="26"/>
        </w:rPr>
        <w:t>А в</w:t>
      </w:r>
      <w:r>
        <w:rPr>
          <w:rFonts w:ascii="PT Astra Serif" w:hAnsi="PT Astra Serif"/>
          <w:sz w:val="26"/>
        </w:rPr>
        <w:t xml:space="preserve">о взаимоотношениях Российской Федерации и Грузии, Республики Молдова, Туркменистана действует Конвенция о правовой помощи </w:t>
      </w:r>
      <w:r>
        <w:rPr>
          <w:rFonts w:ascii="PT Astra Serif" w:hAnsi="PT Astra Serif"/>
          <w:sz w:val="26"/>
        </w:rPr>
        <w:t xml:space="preserve">и правовых отношениях по гражданским, семейным и уголовным делам </w:t>
      </w:r>
      <w:r>
        <w:rPr>
          <w:rFonts w:ascii="PT Astra Serif" w:hAnsi="PT Astra Serif"/>
          <w:sz w:val="26"/>
        </w:rPr>
        <w:t xml:space="preserve">(Минск, </w:t>
      </w:r>
      <w:r>
        <w:rPr>
          <w:rFonts w:ascii="PT Astra Serif" w:hAnsi="PT Astra Serif"/>
          <w:sz w:val="26"/>
        </w:rPr>
        <w:t>1993</w:t>
      </w:r>
      <w:r>
        <w:rPr>
          <w:rFonts w:ascii="PT Astra Serif" w:hAnsi="PT Astra Serif"/>
          <w:sz w:val="26"/>
        </w:rPr>
        <w:t>)</w:t>
      </w:r>
      <w:r>
        <w:rPr>
          <w:rFonts w:ascii="PT Astra Serif" w:hAnsi="PT Astra Serif"/>
          <w:sz w:val="26"/>
        </w:rPr>
        <w:t>.</w:t>
      </w:r>
    </w:p>
    <w:p w14:paraId="17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Кроме того, Российская Федерация является участницей ряда двусторонних международных договоров о правовой помощи, содержащих положения о возможности истребования личных документов.</w:t>
      </w:r>
    </w:p>
    <w:p w14:paraId="18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Если во взаимоотношениях Российской Федерации и иностранного государства отсутствует договор по вопросам пересылки документов, касающихся личных, имущественных или неимущественных прав и интересов граждан, за соответствующими разъяснениями следует обращаться в МИД России либо его представительства на </w:t>
      </w:r>
      <w:r>
        <w:rPr>
          <w:rFonts w:ascii="PT Astra Serif" w:hAnsi="PT Astra Serif"/>
          <w:sz w:val="26"/>
        </w:rPr>
        <w:t xml:space="preserve">территории Российской Федерации.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Кроме того заинтересованные лица могут обращаться в компетентные органы иностранных государств самостоятельно.</w:t>
      </w:r>
    </w:p>
    <w:p w14:paraId="19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 12 месяцев 202</w:t>
      </w:r>
      <w:r>
        <w:rPr>
          <w:rFonts w:ascii="PT Astra Serif" w:hAnsi="PT Astra Serif"/>
          <w:sz w:val="26"/>
        </w:rPr>
        <w:t>5</w:t>
      </w:r>
      <w:r>
        <w:rPr>
          <w:rFonts w:ascii="PT Astra Serif" w:hAnsi="PT Astra Serif"/>
          <w:sz w:val="26"/>
        </w:rPr>
        <w:t xml:space="preserve"> года Главным управлением Министерства юстиции Российской Федерации по Свердловской области (далее – Главное управление) рассмотрено </w:t>
      </w:r>
      <w:r>
        <w:rPr>
          <w:rFonts w:ascii="PT Astra Serif" w:hAnsi="PT Astra Serif"/>
          <w:sz w:val="26"/>
        </w:rPr>
        <w:t>735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заявлений</w:t>
      </w:r>
      <w:r>
        <w:rPr>
          <w:rFonts w:ascii="PT Astra Serif" w:hAnsi="PT Astra Serif"/>
          <w:sz w:val="26"/>
        </w:rPr>
        <w:t xml:space="preserve"> граждан</w:t>
      </w:r>
      <w:r>
        <w:rPr>
          <w:rFonts w:ascii="PT Astra Serif" w:hAnsi="PT Astra Serif"/>
          <w:sz w:val="26"/>
        </w:rPr>
        <w:t xml:space="preserve"> об истребовании личных документов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из компетентных органов иностранных государств</w:t>
      </w:r>
      <w:r>
        <w:rPr>
          <w:rFonts w:ascii="PT Astra Serif" w:hAnsi="PT Astra Serif"/>
          <w:sz w:val="26"/>
        </w:rPr>
        <w:t xml:space="preserve">. Из указанного числа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188</w:t>
      </w:r>
      <w:r>
        <w:rPr>
          <w:rFonts w:ascii="PT Astra Serif" w:hAnsi="PT Astra Serif"/>
          <w:sz w:val="26"/>
        </w:rPr>
        <w:t xml:space="preserve"> заявлений</w:t>
      </w:r>
      <w:r>
        <w:rPr>
          <w:rFonts w:ascii="PT Astra Serif" w:hAnsi="PT Astra Serif"/>
          <w:sz w:val="26"/>
        </w:rPr>
        <w:t xml:space="preserve"> поступили непосредственно в Главное управление и 5</w:t>
      </w:r>
      <w:r>
        <w:rPr>
          <w:rFonts w:ascii="PT Astra Serif" w:hAnsi="PT Astra Serif"/>
          <w:sz w:val="26"/>
        </w:rPr>
        <w:t xml:space="preserve">47 </w:t>
      </w:r>
      <w:r>
        <w:rPr>
          <w:rFonts w:ascii="PT Astra Serif" w:hAnsi="PT Astra Serif"/>
          <w:sz w:val="26"/>
        </w:rPr>
        <w:t xml:space="preserve">заявлений </w:t>
      </w:r>
      <w:r>
        <w:rPr>
          <w:rFonts w:ascii="PT Astra Serif" w:hAnsi="PT Astra Serif"/>
          <w:sz w:val="26"/>
        </w:rPr>
        <w:t>поступили из территориальных органов Минюста России</w:t>
      </w:r>
      <w:r>
        <w:rPr>
          <w:rFonts w:ascii="PT Astra Serif" w:hAnsi="PT Astra Serif"/>
          <w:sz w:val="26"/>
        </w:rPr>
        <w:t xml:space="preserve">, действующих </w:t>
      </w:r>
      <w:r>
        <w:rPr>
          <w:rFonts w:ascii="PT Astra Serif" w:hAnsi="PT Astra Serif"/>
          <w:sz w:val="26"/>
        </w:rPr>
        <w:t>на территории Уральского федерального округа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z w:val="26"/>
        </w:rPr>
        <w:t xml:space="preserve"> </w:t>
      </w:r>
      <w:r>
        <w:br/>
      </w:r>
      <w:r>
        <w:rPr>
          <w:rFonts w:ascii="PT Astra Serif" w:hAnsi="PT Astra Serif"/>
          <w:sz w:val="26"/>
        </w:rPr>
        <w:t>Наибольшее количество заявлений поступило из Управления Минюста России по Ханты-Мансийскому автономному округу-Югре (156</w:t>
      </w:r>
      <w:r>
        <w:rPr>
          <w:rFonts w:ascii="PT Astra Serif" w:hAnsi="PT Astra Serif"/>
          <w:sz w:val="26"/>
        </w:rPr>
        <w:t xml:space="preserve"> заявлений</w:t>
      </w:r>
      <w:r>
        <w:rPr>
          <w:rFonts w:ascii="PT Astra Serif" w:hAnsi="PT Astra Serif"/>
          <w:sz w:val="26"/>
        </w:rPr>
        <w:t xml:space="preserve">), </w:t>
      </w:r>
      <w:r>
        <w:br/>
      </w:r>
      <w:r>
        <w:rPr>
          <w:rFonts w:ascii="PT Astra Serif" w:hAnsi="PT Astra Serif"/>
          <w:sz w:val="26"/>
        </w:rPr>
        <w:t xml:space="preserve">Управления Минюста России по  Тюменской области (142 заявления) </w:t>
      </w:r>
      <w:r>
        <w:br/>
      </w:r>
      <w:r>
        <w:rPr>
          <w:rFonts w:ascii="PT Astra Serif" w:hAnsi="PT Astra Serif"/>
          <w:sz w:val="26"/>
        </w:rPr>
        <w:t xml:space="preserve">и Управления Минюста России по  </w:t>
      </w:r>
      <w:r>
        <w:rPr>
          <w:rFonts w:ascii="PT Astra Serif" w:hAnsi="PT Astra Serif"/>
          <w:sz w:val="26"/>
        </w:rPr>
        <w:t>Челябинской</w:t>
      </w:r>
      <w:r>
        <w:rPr>
          <w:rFonts w:ascii="PT Astra Serif" w:hAnsi="PT Astra Serif"/>
          <w:sz w:val="26"/>
        </w:rPr>
        <w:t xml:space="preserve"> области (</w:t>
      </w:r>
      <w:r>
        <w:rPr>
          <w:rFonts w:ascii="PT Astra Serif" w:hAnsi="PT Astra Serif"/>
          <w:sz w:val="26"/>
        </w:rPr>
        <w:t>131</w:t>
      </w:r>
      <w:r>
        <w:rPr>
          <w:rFonts w:ascii="PT Astra Serif" w:hAnsi="PT Astra Serif"/>
          <w:sz w:val="26"/>
        </w:rPr>
        <w:t>  заявление</w:t>
      </w:r>
      <w:r>
        <w:rPr>
          <w:rFonts w:ascii="PT Astra Serif" w:hAnsi="PT Astra Serif"/>
          <w:sz w:val="26"/>
        </w:rPr>
        <w:t xml:space="preserve">). </w:t>
      </w:r>
      <w:r>
        <w:br/>
      </w:r>
      <w:r>
        <w:rPr>
          <w:rFonts w:ascii="PT Astra Serif" w:hAnsi="PT Astra Serif"/>
          <w:sz w:val="26"/>
        </w:rPr>
        <w:t>Из Управления Минюста России по  Курганской области поступило 89</w:t>
      </w:r>
      <w:r>
        <w:rPr>
          <w:rFonts w:ascii="PT Astra Serif" w:hAnsi="PT Astra Serif"/>
          <w:sz w:val="26"/>
        </w:rPr>
        <w:t>  заявлений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 xml:space="preserve">Управления Минюста России по Ямало-Ненецкому автономному округу - </w:t>
      </w:r>
      <w:r>
        <w:rPr>
          <w:rFonts w:ascii="PT Astra Serif" w:hAnsi="PT Astra Serif"/>
          <w:sz w:val="26"/>
        </w:rPr>
        <w:t>29</w:t>
      </w:r>
      <w:r>
        <w:rPr>
          <w:rFonts w:ascii="PT Astra Serif" w:hAnsi="PT Astra Serif"/>
          <w:sz w:val="26"/>
        </w:rPr>
        <w:t xml:space="preserve"> заявлени</w:t>
      </w:r>
      <w:r>
        <w:rPr>
          <w:rFonts w:ascii="PT Astra Serif" w:hAnsi="PT Astra Serif"/>
          <w:sz w:val="26"/>
        </w:rPr>
        <w:t>й.</w:t>
      </w:r>
    </w:p>
    <w:p w14:paraId="1A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Большая часть заявлений касались истребования сведений о наличии (отсутствии) гражданства иностранного государства (</w:t>
      </w:r>
      <w:r>
        <w:rPr>
          <w:rFonts w:ascii="PT Astra Serif" w:hAnsi="PT Astra Serif"/>
          <w:sz w:val="26"/>
        </w:rPr>
        <w:t>86</w:t>
      </w:r>
      <w:r>
        <w:rPr>
          <w:rFonts w:ascii="PT Astra Serif" w:hAnsi="PT Astra Serif"/>
          <w:sz w:val="26"/>
        </w:rPr>
        <w:t xml:space="preserve"> % от общего числа документов данной категории). Заявления о подтверждении трудового стажа и размера заработной платы в период работы на территории иностранных государств составили 10</w:t>
      </w:r>
      <w:r>
        <w:rPr>
          <w:rFonts w:ascii="PT Astra Serif" w:hAnsi="PT Astra Serif"/>
          <w:sz w:val="26"/>
        </w:rPr>
        <w:t xml:space="preserve"> % от общего числа заявлений. Заявления об истребовании иных документов составили 4</w:t>
      </w:r>
      <w:r>
        <w:rPr>
          <w:rFonts w:ascii="PT Astra Serif" w:hAnsi="PT Astra Serif"/>
          <w:sz w:val="26"/>
        </w:rPr>
        <w:t xml:space="preserve"> %.</w:t>
      </w:r>
    </w:p>
    <w:p w14:paraId="1B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Личный прием граждан по вопросу истребования личных документов,                                 в том числе консультирование, проверка полноты и правильности заполнения заявлений и прием документов осуществляется специалистами отдела международной правовой помощи и проставления апостиля Главного управления в часы приема граждан (с понедельника по пятницу с 9 до 12 часов). </w:t>
      </w:r>
      <w:r>
        <w:rPr>
          <w:rFonts w:ascii="PT Astra Serif" w:hAnsi="PT Astra Serif"/>
          <w:sz w:val="26"/>
        </w:rPr>
        <w:t>Дистанционное консультирование осуществляется по телефону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8 (343) 227-49-38, доб. 604. </w:t>
      </w:r>
      <w:r>
        <w:rPr>
          <w:rFonts w:ascii="PT Astra Serif" w:hAnsi="PT Astra Serif"/>
          <w:sz w:val="26"/>
        </w:rPr>
        <w:t xml:space="preserve">Кроме того, заявления могут быть направлены заинтересованными лицами в Главное управление Министерства юстиции Российской Федерации по Свердловской области почтовым отправлением по адресу: ул. Пушкина, </w:t>
      </w:r>
      <w:r>
        <w:rPr>
          <w:rFonts w:ascii="PT Astra Serif" w:hAnsi="PT Astra Serif"/>
          <w:sz w:val="26"/>
        </w:rPr>
        <w:t>стр. 24, г. Екатеринбург, 620000).</w:t>
      </w:r>
    </w:p>
    <w:p w14:paraId="1C000000">
      <w:pPr>
        <w:pStyle w:val="Style_2"/>
        <w:widowControl w:val="0"/>
        <w:spacing w:after="0"/>
        <w:ind w:firstLine="720" w:left="0"/>
        <w:jc w:val="both"/>
        <w:rPr>
          <w:rFonts w:ascii="PT Astra Serif" w:hAnsi="PT Astra Serif"/>
          <w:sz w:val="26"/>
        </w:rPr>
      </w:pPr>
    </w:p>
    <w:p w14:paraId="1D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</w:p>
    <w:p w14:paraId="1E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</w:p>
    <w:p w14:paraId="1F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</w:p>
    <w:p w14:paraId="20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</w:p>
    <w:p w14:paraId="21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</w:p>
    <w:p w14:paraId="22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</w:p>
    <w:p w14:paraId="23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Исполнитель:</w:t>
      </w:r>
    </w:p>
    <w:p w14:paraId="24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начальник отдела</w:t>
      </w:r>
      <w:r>
        <w:rPr>
          <w:rFonts w:ascii="PT Astra Serif" w:hAnsi="PT Astra Serif"/>
          <w:sz w:val="20"/>
        </w:rPr>
        <w:t xml:space="preserve"> международной правовой помощи</w:t>
      </w:r>
      <w:r>
        <w:rPr>
          <w:rFonts w:ascii="PT Astra Serif" w:hAnsi="PT Astra Serif"/>
          <w:sz w:val="20"/>
        </w:rPr>
        <w:t xml:space="preserve"> </w:t>
      </w:r>
    </w:p>
    <w:p w14:paraId="25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и проставления апостиля </w:t>
      </w:r>
    </w:p>
    <w:p w14:paraId="26000000">
      <w:pPr>
        <w:pStyle w:val="Style_2"/>
        <w:widowControl w:val="0"/>
        <w:spacing w:after="0"/>
        <w:ind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Богомолова М.Г.</w:t>
      </w:r>
    </w:p>
    <w:sectPr>
      <w:headerReference r:id="rId1" w:type="default"/>
      <w:pgSz w:h="16848" w:orient="portrait" w:w="11908"/>
      <w:pgMar w:bottom="1701" w:footer="709" w:gutter="0" w:header="709" w:left="1417" w:right="1417" w:top="141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PT Astra Serif" w:hAnsi="PT Astra Serif"/>
        <w:sz w:val="28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8"/>
      <w:lvlText w:val="%1)"/>
      <w:lvlJc w:val="left"/>
      <w:pPr>
        <w:tabs>
          <w:tab w:leader="none" w:pos="1800" w:val="left"/>
        </w:tabs>
        <w:ind w:hanging="1080" w:left="1800"/>
      </w:pPr>
    </w:lvl>
    <w:lvl w:ilvl="1">
      <w:start w:val="1"/>
      <w:numFmt w:val="lowerLetter"/>
      <w:lvlText w:val="%2."/>
      <w:lvlJc w:val="left"/>
      <w:pPr>
        <w:tabs>
          <w:tab w:leader="none" w:pos="180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tabs>
          <w:tab w:leader="none" w:pos="252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tabs>
          <w:tab w:leader="none" w:pos="324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tabs>
          <w:tab w:leader="none" w:pos="396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tabs>
          <w:tab w:leader="none" w:pos="468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tabs>
          <w:tab w:leader="none" w:pos="540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tabs>
          <w:tab w:leader="none" w:pos="612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tabs>
          <w:tab w:leader="none" w:pos="6840" w:val="left"/>
        </w:tabs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сновной текст Знак"/>
    <w:basedOn w:val="Style_9"/>
    <w:link w:val="Style_8_ch"/>
  </w:style>
  <w:style w:styleId="Style_8_ch" w:type="character">
    <w:name w:val="Основной текст Знак"/>
    <w:basedOn w:val="Style_9_ch"/>
    <w:link w:val="Style_8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Знак2"/>
    <w:basedOn w:val="Style_3"/>
    <w:link w:val="Style_12_ch"/>
    <w:pPr>
      <w:tabs>
        <w:tab w:leader="none" w:pos="1800" w:val="left"/>
      </w:tabs>
      <w:spacing w:after="160" w:before="120" w:line="240" w:lineRule="exact"/>
      <w:ind w:hanging="1080" w:left="1800"/>
      <w:jc w:val="both"/>
    </w:pPr>
    <w:rPr>
      <w:rFonts w:ascii="Verdana" w:hAnsi="Verdana"/>
      <w:sz w:val="20"/>
    </w:rPr>
  </w:style>
  <w:style w:styleId="Style_12_ch" w:type="character">
    <w:name w:val="Знак Знак2"/>
    <w:basedOn w:val="Style_3_ch"/>
    <w:link w:val="Style_12"/>
    <w:rPr>
      <w:rFonts w:ascii="Verdana" w:hAnsi="Verdana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 Знак2"/>
    <w:basedOn w:val="Style_3"/>
    <w:link w:val="Style_14_ch"/>
    <w:pPr>
      <w:tabs>
        <w:tab w:leader="none" w:pos="1800" w:val="left"/>
      </w:tabs>
      <w:spacing w:after="160" w:before="120" w:line="240" w:lineRule="exact"/>
      <w:ind w:hanging="1080" w:left="1800"/>
      <w:jc w:val="both"/>
    </w:pPr>
    <w:rPr>
      <w:rFonts w:ascii="Verdana" w:hAnsi="Verdana"/>
      <w:sz w:val="20"/>
    </w:rPr>
  </w:style>
  <w:style w:styleId="Style_14_ch" w:type="character">
    <w:name w:val="Знак Знак2"/>
    <w:basedOn w:val="Style_3_ch"/>
    <w:link w:val="Style_14"/>
    <w:rPr>
      <w:rFonts w:ascii="Verdana" w:hAnsi="Verdana"/>
      <w:sz w:val="20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footer"/>
    <w:basedOn w:val="Style_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3_ch"/>
    <w:link w:val="Style_16"/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Знак Знак1 Знак Знак"/>
    <w:basedOn w:val="Style_3"/>
    <w:link w:val="Style_18_ch"/>
    <w:pPr>
      <w:numPr>
        <w:numId w:val="1"/>
      </w:num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8_ch" w:type="character">
    <w:name w:val="Знак Знак1 Знак Знак"/>
    <w:basedOn w:val="Style_3_ch"/>
    <w:link w:val="Style_18"/>
    <w:rPr>
      <w:rFonts w:ascii="Verdana" w:hAnsi="Verdana"/>
      <w:sz w:val="20"/>
    </w:rPr>
  </w:style>
  <w:style w:styleId="Style_19" w:type="paragraph">
    <w:name w:val="Hyperlink"/>
    <w:link w:val="Style_19_ch"/>
    <w:rPr>
      <w:color w:val="0563C1"/>
      <w:u w:val="single"/>
    </w:rPr>
  </w:style>
  <w:style w:styleId="Style_19_ch" w:type="character">
    <w:name w:val="Hyperlink"/>
    <w:link w:val="Style_19"/>
    <w:rPr>
      <w:color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Body Text"/>
    <w:basedOn w:val="Style_3"/>
    <w:link w:val="Style_2_ch"/>
    <w:pPr>
      <w:spacing w:after="120" w:line="240" w:lineRule="auto"/>
      <w:ind/>
    </w:pPr>
    <w:rPr>
      <w:rFonts w:ascii="Times New Roman" w:hAnsi="Times New Roman"/>
      <w:sz w:val="24"/>
    </w:rPr>
  </w:style>
  <w:style w:styleId="Style_2_ch" w:type="character">
    <w:name w:val="Body Text"/>
    <w:basedOn w:val="Style_3_ch"/>
    <w:link w:val="Style_2"/>
    <w:rPr>
      <w:rFonts w:ascii="Times New Roman" w:hAnsi="Times New Roman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2026-04-02T08:51:32Z</dcterms:modified>
</cp:coreProperties>
</file>